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val="false"/>
          <w:bCs w:val="false"/>
        </w:rPr>
        <w:t xml:space="preserve">RFI Response — Enterprise Land and Lease Management Software</w:t>
      </w:r>
    </w:p>
    <w:p>
      <w:pPr>
        <w:pStyle w:val="Heading2"/>
      </w:pPr>
      <w:r>
        <w:rPr>
          <w:b w:val="false"/>
          <w:bCs w:val="false"/>
        </w:rPr>
        <w:t xml:space="preserve">RFI 26-0409 | City of Saskatoon</w:t>
      </w:r>
    </w:p>
    <w:p>
      <w:pPr>
        <w:pStyle w:val="Heading3"/>
      </w:pPr>
      <w:r>
        <w:rPr>
          <w:b w:val="false"/>
          <w:bCs w:val="false"/>
        </w:rPr>
        <w:t xml:space="preserve">Submitted via saskatoon.bidsandtenders.ca</w:t>
      </w:r>
    </w:p>
    <w:p>
      <w:r>
        <w:t xml:space="preserve"/>
      </w:r>
    </w:p>
    <w:p>
      <w:r>
        <w:rPr>
          <w:b w:val="false"/>
          <w:bCs w:val="false"/>
        </w:rPr>
        <w:t xml:space="preserve">---</w:t>
      </w:r>
    </w:p>
    <w:p>
      <w:r>
        <w:t xml:space="preserve"/>
      </w:r>
    </w:p>
    <w:p>
      <w:pPr>
        <w:pStyle w:val="Heading1"/>
      </w:pPr>
      <w:r>
        <w:rPr>
          <w:b w:val="false"/>
          <w:bCs w:val="false"/>
        </w:rPr>
        <w:t xml:space="preserve">1. Cover Letter</w:t>
      </w:r>
    </w:p>
    <w:p>
      <w:r>
        <w:t xml:space="preserve"/>
      </w:r>
    </w:p>
    <w:p>
      <w:r>
        <w:rPr>
          <w:b/>
          <w:bCs/>
        </w:rPr>
        <w:t xml:space="preserve">Date:</w:t>
      </w:r>
      <w:r>
        <w:rPr>
          <w:b w:val="false"/>
          <w:bCs w:val="false"/>
        </w:rPr>
        <w:t xml:space="preserve"> [PROVIDE: insert submission date, on or before Friday, August 21, 2026, 2:00 PM CST]</w:t>
      </w:r>
    </w:p>
    <w:p>
      <w:r>
        <w:t xml:space="preserve"/>
      </w:r>
    </w:p>
    <w:p>
      <w:r>
        <w:rPr>
          <w:b/>
          <w:bCs/>
        </w:rPr>
        <w:t xml:space="preserve">To:</w:t>
      </w:r>
    </w:p>
    <w:p>
      <w:r>
        <w:rPr>
          <w:b w:val="false"/>
          <w:bCs w:val="false"/>
        </w:rPr>
        <w:t xml:space="preserve">RFI Contact — Enterprise Land and Lease Management Software (RFI 26-0409)</w:t>
      </w:r>
    </w:p>
    <w:p>
      <w:r>
        <w:rPr>
          <w:b w:val="false"/>
          <w:bCs w:val="false"/>
        </w:rPr>
        <w:t xml:space="preserve">City of Saskatoon</w:t>
      </w:r>
    </w:p>
    <w:p>
      <w:r>
        <w:rPr>
          <w:b w:val="false"/>
          <w:bCs w:val="false"/>
        </w:rPr>
        <w:t xml:space="preserve">Procurement &amp; Supply Division</w:t>
      </w:r>
    </w:p>
    <w:p>
      <w:r>
        <w:rPr>
          <w:b w:val="false"/>
          <w:bCs w:val="false"/>
        </w:rPr>
        <w:t xml:space="preserve">[PROVIDE: full mailing address of RFI Contact as listed in the RFI document]</w:t>
      </w:r>
    </w:p>
    <w:p>
      <w:r>
        <w:t xml:space="preserve"/>
      </w:r>
    </w:p>
    <w:p>
      <w:r>
        <w:rPr>
          <w:b/>
          <w:bCs/>
        </w:rPr>
        <w:t xml:space="preserve">From:</w:t>
      </w:r>
    </w:p>
    <w:p>
      <w:r>
        <w:rPr>
          <w:b w:val="false"/>
          <w:bCs w:val="false"/>
        </w:rPr>
        <w:t xml:space="preserve">Mohammed Yousuf Shariff</w:t>
      </w:r>
    </w:p>
    <w:p>
      <w:r>
        <w:rPr>
          <w:b w:val="false"/>
          <w:bCs w:val="false"/>
        </w:rPr>
        <w:t xml:space="preserve">NimbleStride Inc. / MGR Infotech</w:t>
      </w:r>
    </w:p>
    <w:p>
      <w:r>
        <w:rPr>
          <w:b w:val="false"/>
          <w:bCs w:val="false"/>
        </w:rPr>
        <w:t xml:space="preserve">1209 Waterford Dr, Chestermere, AB T1X 3A1</w:t>
      </w:r>
    </w:p>
    <w:p>
      <w:r>
        <w:rPr>
          <w:b w:val="false"/>
          <w:bCs w:val="false"/>
        </w:rPr>
        <w:t xml:space="preserve">Email: support@nimblestride.ca</w:t>
      </w:r>
    </w:p>
    <w:p>
      <w:r>
        <w:rPr>
          <w:b w:val="false"/>
          <w:bCs w:val="false"/>
        </w:rPr>
        <w:t xml:space="preserve">Phone: +1 (613) 407-0895</w:t>
      </w:r>
    </w:p>
    <w:p>
      <w:r>
        <w:t xml:space="preserve"/>
      </w:r>
    </w:p>
    <w:p>
      <w:r>
        <w:rPr>
          <w:b w:val="false"/>
          <w:bCs w:val="false"/>
        </w:rPr>
        <w:t xml:space="preserve">---</w:t>
      </w:r>
    </w:p>
    <w:p>
      <w:r>
        <w:t xml:space="preserve"/>
      </w:r>
    </w:p>
    <w:p>
      <w:r>
        <w:rPr>
          <w:b w:val="false"/>
          <w:bCs w:val="false"/>
        </w:rPr>
        <w:t xml:space="preserve">Dear RFI Contact,</w:t>
      </w:r>
    </w:p>
    <w:p>
      <w:r>
        <w:t xml:space="preserve"/>
      </w:r>
    </w:p>
    <w:p>
      <w:r>
        <w:rPr>
          <w:b w:val="false"/>
          <w:bCs w:val="false"/>
        </w:rPr>
        <w:t xml:space="preserve">NimbleStride Inc. (operating as MGR Infotech in Saskatchewan) is pleased to submit this response to RFI 26-0409 — Enterprise Land and Lease Management Software, issued by the City of Saskatoon.</w:t>
      </w:r>
    </w:p>
    <w:p>
      <w:r>
        <w:t xml:space="preserve"/>
      </w:r>
    </w:p>
    <w:p>
      <w:r>
        <w:rPr>
          <w:b w:val="false"/>
          <w:bCs w:val="false"/>
        </w:rPr>
        <w:t xml:space="preserve">We understand this is a Request for Information (RFI) intended to assist the City in understanding the market landscape for enterprise land and lease management software solutions. Our response is provided in good faith to inform the City's planning process. We acknowledge that this RFI and our submission do not create any legal relationship or obligation regarding the procurement of any good or service.</w:t>
      </w:r>
    </w:p>
    <w:p>
      <w:r>
        <w:t xml:space="preserve"/>
      </w:r>
    </w:p>
    <w:p>
      <w:r>
        <w:rPr>
          <w:b w:val="false"/>
          <w:bCs w:val="false"/>
        </w:rPr>
        <w:t xml:space="preserve">All information provided in this response is, to the best of our knowledge, complete and accurate. We have reviewed and acknowledge all addenda issued to date. [PROVIDE: list addendum numbers and dates as published on saskatoon.bidsandtenders.ca, and confirm each has been reviewed per Appendix A.]</w:t>
      </w:r>
    </w:p>
    <w:p>
      <w:r>
        <w:t xml:space="preserve"/>
      </w:r>
    </w:p>
    <w:p>
      <w:r>
        <w:rPr>
          <w:b w:val="false"/>
          <w:bCs w:val="false"/>
        </w:rPr>
        <w:t xml:space="preserve">We confirm that all City-provided information in connection with this RFI will be treated as confidential, used solely for the purpose of responding to this RFI, and will not be disclosed or communicated to any third party or media without prior written authorization from the City.</w:t>
      </w:r>
    </w:p>
    <w:p>
      <w:r>
        <w:t xml:space="preserve"/>
      </w:r>
    </w:p>
    <w:p>
      <w:r>
        <w:rPr>
          <w:b w:val="false"/>
          <w:bCs w:val="false"/>
        </w:rPr>
        <w:t xml:space="preserve">We welcome the opportunity to discuss our response further at the City's convenience.</w:t>
      </w:r>
    </w:p>
    <w:p>
      <w:r>
        <w:t xml:space="preserve"/>
      </w:r>
    </w:p>
    <w:p>
      <w:r>
        <w:rPr>
          <w:b w:val="false"/>
          <w:bCs w:val="false"/>
        </w:rPr>
        <w:t xml:space="preserve">Respectfully submitted,</w:t>
      </w:r>
    </w:p>
    <w:p>
      <w:r>
        <w:t xml:space="preserve"/>
      </w:r>
    </w:p>
    <w:p>
      <w:r>
        <w:rPr>
          <w:b/>
          <w:bCs/>
        </w:rPr>
        <w:t xml:space="preserve">Mohammed Yousuf Shariff</w:t>
      </w:r>
    </w:p>
    <w:p>
      <w:r>
        <w:rPr>
          <w:b w:val="false"/>
          <w:bCs w:val="false"/>
        </w:rPr>
        <w:t xml:space="preserve">Principal &amp; Delivery Lead</w:t>
      </w:r>
    </w:p>
    <w:p>
      <w:r>
        <w:rPr>
          <w:b w:val="false"/>
          <w:bCs w:val="false"/>
        </w:rPr>
        <w:t xml:space="preserve">NimbleStride Inc. / MGR Infotech</w:t>
      </w:r>
    </w:p>
    <w:p>
      <w:r>
        <w:rPr>
          <w:b w:val="false"/>
          <w:bCs w:val="false"/>
        </w:rPr>
        <w:t xml:space="preserve">support@nimblestride.ca | +1 (613) 407-0895</w:t>
      </w:r>
    </w:p>
    <w:p>
      <w:r>
        <w:t xml:space="preserve"/>
      </w:r>
    </w:p>
    <w:p>
      <w:r>
        <w:rPr>
          <w:b w:val="false"/>
          <w:bCs w:val="false"/>
        </w:rPr>
        <w:t xml:space="preserve">---</w:t>
      </w:r>
    </w:p>
    <w:p>
      <w:r>
        <w:t xml:space="preserve"/>
      </w:r>
    </w:p>
    <w:p>
      <w:pPr>
        <w:pStyle w:val="Heading1"/>
      </w:pPr>
      <w:r>
        <w:rPr>
          <w:b w:val="false"/>
          <w:bCs w:val="false"/>
        </w:rPr>
        <w:t xml:space="preserve">2. Company Overview</w:t>
      </w:r>
    </w:p>
    <w:p>
      <w:r>
        <w:t xml:space="preserve"/>
      </w:r>
    </w:p>
    <w:p>
      <w:r>
        <w:rPr>
          <w:b w:val="false"/>
          <w:bCs w:val="false"/>
        </w:rPr>
        <w:t xml:space="preserve">NimbleStride Inc. is an Alberta-incorporated company operating under the trade name MGR Infotech in Saskatchewan. Together, the two entities form a single integrated delivery organization serving public- and private-sector clients across Alberta, Saskatchewan, and Manitoba.</w:t>
      </w:r>
    </w:p>
    <w:p>
      <w:r>
        <w:t xml:space="preserve"/>
      </w:r>
    </w:p>
    <w:p>
      <w:r>
        <w:rPr>
          <w:b w:val="false"/>
          <w:bCs w:val="false"/>
        </w:rPr>
        <w:t xml:space="preserve">| Field | Detail |</w:t>
      </w:r>
    </w:p>
    <w:p>
      <w:r>
        <w:rPr>
          <w:b w:val="false"/>
          <w:bCs w:val="false"/>
        </w:rPr>
        <w:t xml:space="preserve">|---|---|</w:t>
      </w:r>
    </w:p>
    <w:p>
      <w:r>
        <w:rPr>
          <w:b w:val="false"/>
          <w:bCs w:val="false"/>
        </w:rPr>
        <w:t xml:space="preserve">| Legal Name | NimbleStride Inc. |</w:t>
      </w:r>
    </w:p>
    <w:p>
      <w:r>
        <w:rPr>
          <w:b w:val="false"/>
          <w:bCs w:val="false"/>
        </w:rPr>
        <w:t xml:space="preserve">| Operating Name (SK) | MGR Infotech |</w:t>
      </w:r>
    </w:p>
    <w:p>
      <w:r>
        <w:rPr>
          <w:b w:val="false"/>
          <w:bCs w:val="false"/>
        </w:rPr>
        <w:t xml:space="preserve">| Principal Contact | Mohammed Yousuf Shariff |</w:t>
      </w:r>
    </w:p>
    <w:p>
      <w:r>
        <w:rPr>
          <w:b w:val="false"/>
          <w:bCs w:val="false"/>
        </w:rPr>
        <w:t xml:space="preserve">| Email | support@nimblestride.ca |</w:t>
      </w:r>
    </w:p>
    <w:p>
      <w:r>
        <w:rPr>
          <w:b w:val="false"/>
          <w:bCs w:val="false"/>
        </w:rPr>
        <w:t xml:space="preserve">| Phone | +1 (613) 407-0895 |</w:t>
      </w:r>
    </w:p>
    <w:p>
      <w:r>
        <w:rPr>
          <w:b w:val="false"/>
          <w:bCs w:val="false"/>
        </w:rPr>
        <w:t xml:space="preserve">| Address | 1209 Waterford Dr, Chestermere, AB T1X 3A1 |</w:t>
      </w:r>
    </w:p>
    <w:p>
      <w:r>
        <w:rPr>
          <w:b w:val="false"/>
          <w:bCs w:val="false"/>
        </w:rPr>
        <w:t xml:space="preserve">| CRA Business Number | [PROVIDE: CRA Business Number] |</w:t>
      </w:r>
    </w:p>
    <w:p>
      <w:r>
        <w:rPr>
          <w:b w:val="false"/>
          <w:bCs w:val="false"/>
        </w:rPr>
        <w:t xml:space="preserve">| AB Corporate Registry # | [PROVIDE: Alberta Corporate Registry number] |</w:t>
      </w:r>
    </w:p>
    <w:p>
      <w:r>
        <w:rPr>
          <w:b w:val="false"/>
          <w:bCs w:val="false"/>
        </w:rPr>
        <w:t xml:space="preserve">| SK Business Registration # | [PROVIDE: Saskatchewan business registration number] |</w:t>
      </w:r>
    </w:p>
    <w:p>
      <w:r>
        <w:t xml:space="preserve"/>
      </w:r>
    </w:p>
    <w:p>
      <w:r>
        <w:rPr>
          <w:b/>
          <w:bCs/>
        </w:rPr>
        <w:t xml:space="preserve">NimbleStride Inc.</w:t>
      </w:r>
      <w:r>
        <w:rPr>
          <w:b w:val="false"/>
          <w:bCs w:val="false"/>
        </w:rPr>
        <w:t xml:space="preserve"> focuses on custom software, AI, and web platform development. Flagship products include ClearBid (public-sector compliance-screening AI), ClearBind (AI InsurTech platform), an OSFI E-23 model-risk-management platform for Canadian federally regulated financial institutions, and GridWitness (energy/carbon data platform). All are built in TypeScript, Python, Next.js/React, Node.js, and Terraform, and deployed on Canadian-region cloud infrastructure.</w:t>
      </w:r>
    </w:p>
    <w:p>
      <w:r>
        <w:t xml:space="preserve"/>
      </w:r>
    </w:p>
    <w:p>
      <w:r>
        <w:rPr>
          <w:b/>
          <w:bCs/>
        </w:rPr>
        <w:t xml:space="preserve">MGR Infotech</w:t>
      </w:r>
      <w:r>
        <w:rPr>
          <w:b w:val="false"/>
          <w:bCs w:val="false"/>
        </w:rPr>
        <w:t xml:space="preserve"> delivers IT infrastructure, hardware supply, Microsoft 365/Azure services, and physical security systems. Completed engagements include deployment of approximately 200 computers and laptops, CCTV and security-system installations, point-of-sale (POS) system installations, and Microsoft Active Directory and Office 365 setup and administration.</w:t>
      </w:r>
    </w:p>
    <w:p>
      <w:r>
        <w:t xml:space="preserve"/>
      </w:r>
    </w:p>
    <w:p>
      <w:r>
        <w:rPr>
          <w:b w:val="false"/>
          <w:bCs w:val="false"/>
        </w:rPr>
        <w:t xml:space="preserve">The principal point of contact and delivery lead for all engagements is Mohammed Yousuf Shariff, who brings 17+ years of experience in software development, IT operations, and enterprise program delivery.</w:t>
      </w:r>
    </w:p>
    <w:p>
      <w:r>
        <w:t xml:space="preserve"/>
      </w:r>
    </w:p>
    <w:p>
      <w:r>
        <w:rPr>
          <w:b w:val="false"/>
          <w:bCs w:val="false"/>
        </w:rPr>
        <w:t xml:space="preserve">&gt; </w:t>
      </w:r>
      <w:r>
        <w:rPr>
          <w:b/>
          <w:bCs/>
        </w:rPr>
        <w:t xml:space="preserve">⚠️ POTENTIAL GAP — Software Product vs. COTS Platform:</w:t>
      </w:r>
      <w:r>
        <w:rPr>
          <w:b w:val="false"/>
          <w:bCs w:val="false"/>
        </w:rPr>
        <w:t xml:space="preserve"> This RFI seeks an *enterprise land and lease management software* solution — typically a Commercial Off-The-Shelf (COTS) or SaaS platform (e.g., Trimble, Accruent, MRI, Esri, etc.). The dossier does not identify any existing land and lease management product in NimbleStride's portfolio. If NimbleStride is responding as a </w:t>
      </w:r>
      <w:r>
        <w:rPr>
          <w:b/>
          <w:bCs/>
        </w:rPr>
        <w:t xml:space="preserve">custom development vendor</w:t>
      </w:r>
      <w:r>
        <w:rPr>
          <w:b w:val="false"/>
          <w:bCs w:val="false"/>
        </w:rPr>
        <w:t xml:space="preserve"> (i.e., proposing to build a bespoke solution), this must be stated explicitly and the City's information requirements addressed accordingly. If NimbleStride is responding as a </w:t>
      </w:r>
      <w:r>
        <w:rPr>
          <w:b/>
          <w:bCs/>
        </w:rPr>
        <w:t xml:space="preserve">reseller or implementation partner</w:t>
      </w:r>
      <w:r>
        <w:rPr>
          <w:b w:val="false"/>
          <w:bCs w:val="false"/>
        </w:rPr>
        <w:t xml:space="preserve"> for a third-party platform, [PROVIDE: the name of the platform, the partnership/reseller agreement, and the platform vendor's product documentation]. This distinction is material to the City's market research and must be clarified before submission.</w:t>
      </w:r>
    </w:p>
    <w:p>
      <w:r>
        <w:t xml:space="preserve"/>
      </w:r>
    </w:p>
    <w:p>
      <w:r>
        <w:rPr>
          <w:b w:val="false"/>
          <w:bCs w:val="false"/>
        </w:rPr>
        <w:t xml:space="preserve">---</w:t>
      </w:r>
    </w:p>
    <w:p>
      <w:r>
        <w:t xml:space="preserve"/>
      </w:r>
    </w:p>
    <w:p>
      <w:pPr>
        <w:pStyle w:val="Heading1"/>
      </w:pPr>
      <w:r>
        <w:rPr>
          <w:b w:val="false"/>
          <w:bCs w:val="false"/>
        </w:rPr>
        <w:t xml:space="preserve">3. Compliance Response</w:t>
      </w:r>
    </w:p>
    <w:p>
      <w:r>
        <w:t xml:space="preserve"/>
      </w:r>
    </w:p>
    <w:p>
      <w:pPr>
        <w:pStyle w:val="Heading2"/>
      </w:pPr>
      <w:r>
        <w:rPr>
          <w:b w:val="false"/>
          <w:bCs w:val="false"/>
        </w:rPr>
        <w:t xml:space="preserve">3.1 Submission Deadlines &amp; Process Requirements</w:t>
      </w:r>
    </w:p>
    <w:p>
      <w:r>
        <w:t xml:space="preserve"/>
      </w:r>
    </w:p>
    <w:p>
      <w:pPr>
        <w:pStyle w:val="Heading3"/>
      </w:pPr>
      <w:r>
        <w:rPr>
          <w:b w:val="false"/>
          <w:bCs w:val="false"/>
        </w:rPr>
        <w:t xml:space="preserve">Requirements (pp. 1–3, 12–16)</w:t>
      </w:r>
    </w:p>
    <w:p>
      <w:r>
        <w:t xml:space="preserve"/>
      </w:r>
    </w:p>
    <w:p>
      <w:r>
        <w:rPr>
          <w:b w:val="false"/>
          <w:bCs w:val="false"/>
        </w:rPr>
        <w:t xml:space="preserve">| Requirement | Reference | Status |</w:t>
      </w:r>
    </w:p>
    <w:p>
      <w:r>
        <w:rPr>
          <w:b w:val="false"/>
          <w:bCs w:val="false"/>
        </w:rPr>
        <w:t xml:space="preserve">|---|---|---|</w:t>
      </w:r>
    </w:p>
    <w:p>
      <w:r>
        <w:rPr>
          <w:b w:val="false"/>
          <w:bCs w:val="false"/>
        </w:rPr>
        <w:t xml:space="preserve">| Closing Date: Friday, August 21, 2026, 2:00:59 PM CST | pp. 1–3, 16 | </w:t>
      </w:r>
      <w:r>
        <w:rPr>
          <w:b/>
          <w:bCs/>
        </w:rPr>
        <w:t xml:space="preserve">Acknowledged</w:t>
      </w:r>
      <w:r>
        <w:rPr>
          <w:b w:val="false"/>
          <w:bCs w:val="false"/>
        </w:rPr>
        <w:t xml:space="preserve"> — submission will be made via saskatoon.bidsandtenders.ca before this deadline. |</w:t>
      </w:r>
    </w:p>
    <w:p>
      <w:r>
        <w:rPr>
          <w:b w:val="false"/>
          <w:bCs w:val="false"/>
        </w:rPr>
        <w:t xml:space="preserve">| Deadline for Questions: Friday, August 14, 2026, 2:00:00 PM CST | p. 3 | </w:t>
      </w:r>
      <w:r>
        <w:rPr>
          <w:b/>
          <w:bCs/>
        </w:rPr>
        <w:t xml:space="preserve">Acknowledged</w:t>
      </w:r>
      <w:r>
        <w:rPr>
          <w:b w:val="false"/>
          <w:bCs w:val="false"/>
        </w:rPr>
        <w:t xml:space="preserve"> — all questions were/will be submitted through the bidding system before this deadline. |</w:t>
      </w:r>
    </w:p>
    <w:p>
      <w:r>
        <w:rPr>
          <w:b w:val="false"/>
          <w:bCs w:val="false"/>
        </w:rPr>
        <w:t xml:space="preserve">| Deadline for Addenda: Tuesday, August 18, 2026, 2:00:59 PM CST | p. 3 | </w:t>
      </w:r>
      <w:r>
        <w:rPr>
          <w:b/>
          <w:bCs/>
        </w:rPr>
        <w:t xml:space="preserve">Acknowledged</w:t>
      </w:r>
      <w:r>
        <w:rPr>
          <w:b w:val="false"/>
          <w:bCs w:val="false"/>
        </w:rPr>
        <w:t xml:space="preserve"> — all addenda will be reviewed and acknowledged in Appendix A. [PROVIDE: confirm addendum numbers once published.] |</w:t>
      </w:r>
    </w:p>
    <w:p>
      <w:r>
        <w:rPr>
          <w:b w:val="false"/>
          <w:bCs w:val="false"/>
        </w:rPr>
        <w:t xml:space="preserve">| Submission via saskatoon.bidsandtenders.ca only | pp. 12–13 | </w:t>
      </w:r>
      <w:r>
        <w:rPr>
          <w:b/>
          <w:bCs/>
        </w:rPr>
        <w:t xml:space="preserve">Compliant</w:t>
      </w:r>
      <w:r>
        <w:rPr>
          <w:b w:val="false"/>
          <w:bCs w:val="false"/>
        </w:rPr>
        <w:t xml:space="preserve"> — this response is submitted exclusively through the electronic bidding system. No other submission method will be used. |</w:t>
      </w:r>
    </w:p>
    <w:p>
      <w:r>
        <w:rPr>
          <w:b w:val="false"/>
          <w:bCs w:val="false"/>
        </w:rPr>
        <w:t xml:space="preserve">| Respondent must be registered as a plan taker | p. 11 | [CONFIRM: verify that NimbleStride Inc. / MGR Infotech is registered as a plan taker for RFI 26-0409 on saskatoon.bidsandtenders.ca before submission.] |</w:t>
      </w:r>
    </w:p>
    <w:p>
      <w:r>
        <w:rPr>
          <w:b w:val="false"/>
          <w:bCs w:val="false"/>
        </w:rPr>
        <w:t xml:space="preserve">| Files must not be defective or corrupted | p. 15 | </w:t>
      </w:r>
      <w:r>
        <w:rPr>
          <w:b/>
          <w:bCs/>
        </w:rPr>
        <w:t xml:space="preserve">Acknowledged</w:t>
      </w:r>
      <w:r>
        <w:rPr>
          <w:b w:val="false"/>
          <w:bCs w:val="false"/>
        </w:rPr>
        <w:t xml:space="preserve"> — all uploaded files will be verified for integrity and readability before submission. |</w:t>
      </w:r>
    </w:p>
    <w:p>
      <w:r>
        <w:rPr>
          <w:b w:val="false"/>
          <w:bCs w:val="false"/>
        </w:rPr>
        <w:t xml:space="preserve">| RFI Response is mandatory | p. 15 | </w:t>
      </w:r>
      <w:r>
        <w:rPr>
          <w:b/>
          <w:bCs/>
        </w:rPr>
        <w:t xml:space="preserve">Compliant</w:t>
      </w:r>
      <w:r>
        <w:rPr>
          <w:b w:val="false"/>
          <w:bCs w:val="false"/>
        </w:rPr>
        <w:t xml:space="preserve"> — this document constitutes the mandatory RFI Response. |</w:t>
      </w:r>
    </w:p>
    <w:p>
      <w:r>
        <w:rPr>
          <w:b w:val="false"/>
          <w:bCs w:val="false"/>
        </w:rPr>
        <w:t xml:space="preserve">| No contact with City staff other than the RFI Contact | p. 12 | </w:t>
      </w:r>
      <w:r>
        <w:rPr>
          <w:b/>
          <w:bCs/>
        </w:rPr>
        <w:t xml:space="preserve">Acknowledged</w:t>
      </w:r>
      <w:r>
        <w:rPr>
          <w:b w:val="false"/>
          <w:bCs w:val="false"/>
        </w:rPr>
        <w:t xml:space="preserve"> — NimbleStride Inc. and all its representatives will communicate exclusively through the designated RFI Contact. |</w:t>
      </w:r>
    </w:p>
    <w:p>
      <w:r>
        <w:rPr>
          <w:b w:val="false"/>
          <w:bCs w:val="false"/>
        </w:rPr>
        <w:t xml:space="preserve">| No media communication without written City permission | p. 16 | </w:t>
      </w:r>
      <w:r>
        <w:rPr>
          <w:b/>
          <w:bCs/>
        </w:rPr>
        <w:t xml:space="preserve">Acknowledged</w:t>
      </w:r>
      <w:r>
        <w:rPr>
          <w:b w:val="false"/>
          <w:bCs w:val="false"/>
        </w:rPr>
        <w:t xml:space="preserve"> — NimbleStride Inc. will not communicate with any media regarding this RFI without prior written authorization from the City. |</w:t>
      </w:r>
    </w:p>
    <w:p>
      <w:r>
        <w:rPr>
          <w:b w:val="false"/>
          <w:bCs w:val="false"/>
        </w:rPr>
        <w:t xml:space="preserve">| Confidentiality of City-provided information | p. 16 | </w:t>
      </w:r>
      <w:r>
        <w:rPr>
          <w:b/>
          <w:bCs/>
        </w:rPr>
        <w:t xml:space="preserve">Acknowledged</w:t>
      </w:r>
      <w:r>
        <w:rPr>
          <w:b w:val="false"/>
          <w:bCs w:val="false"/>
        </w:rPr>
        <w:t xml:space="preserve"> — all City-provided information is treated as confidential, used solely for this RFI response, and will be returned or destroyed upon City request. |</w:t>
      </w:r>
    </w:p>
    <w:p>
      <w:r>
        <w:t xml:space="preserve"/>
      </w:r>
    </w:p>
    <w:p>
      <w:r>
        <w:rPr>
          <w:b/>
          <w:bCs/>
        </w:rPr>
        <w:t xml:space="preserve">How we comply:</w:t>
      </w:r>
      <w:r>
        <w:rPr>
          <w:b w:val="false"/>
          <w:bCs w:val="false"/>
        </w:rPr>
        <w:t xml:space="preserve"> This response is submitted electronically through saskatoon.bidsandtenders.ca. All procedural deadlines are acknowledged. Appendix A (Respondent Submission Form) is completed, signed, and included as a separate attachment. [PROVIDE: signed Appendix A — Mohammed Yousuf Shariff to sign and attach.]</w:t>
      </w:r>
    </w:p>
    <w:p>
      <w:r>
        <w:t xml:space="preserve"/>
      </w:r>
    </w:p>
    <w:p>
      <w:r>
        <w:rPr>
          <w:b w:val="false"/>
          <w:bCs w:val="false"/>
        </w:rPr>
        <w:t xml:space="preserve">---</w:t>
      </w:r>
    </w:p>
    <w:p>
      <w:r>
        <w:t xml:space="preserve"/>
      </w:r>
    </w:p>
    <w:p>
      <w:pPr>
        <w:pStyle w:val="Heading2"/>
      </w:pPr>
      <w:r>
        <w:rPr>
          <w:b w:val="false"/>
          <w:bCs w:val="false"/>
        </w:rPr>
        <w:t xml:space="preserve">3.2 Respondent Submission Form (Appendix A)</w:t>
      </w:r>
    </w:p>
    <w:p>
      <w:r>
        <w:t xml:space="preserve"/>
      </w:r>
    </w:p>
    <w:p>
      <w:r>
        <w:rPr>
          <w:b/>
          <w:bCs/>
        </w:rPr>
        <w:t xml:space="preserve">Requirement (p. 13, 15–17):</w:t>
      </w:r>
      <w:r>
        <w:rPr>
          <w:b w:val="false"/>
          <w:bCs w:val="false"/>
        </w:rPr>
        <w:t xml:space="preserve"> Submissions must include a completed and signed Respondent Submission Form (Appendix A), which acknowledges that the RFI and submissions do not create a legal relationship or obligation; that information provided is complete and accurate; that the respondent agrees to be bound by the terms and conditions and has authority to bind the corporation; that all conflicts of interest are declared; and that all addenda are acknowledged.</w:t>
      </w:r>
    </w:p>
    <w:p>
      <w:r>
        <w:t xml:space="preserve"/>
      </w:r>
    </w:p>
    <w:p>
      <w:r>
        <w:rPr>
          <w:b/>
          <w:bCs/>
        </w:rPr>
        <w:t xml:space="preserve">How we comply:</w:t>
      </w:r>
    </w:p>
    <w:p>
      <w:r>
        <w:t xml:space="preserve"/>
      </w:r>
    </w:p>
    <w:p>
      <w:pPr>
        <w:pStyle w:val="ListParagraph"/>
        <w:numPr>
          <w:ilvl w:val="0"/>
          <w:numId w:val="1"/>
        </w:numPr>
      </w:pPr>
      <w:r>
        <w:rPr>
          <w:b/>
          <w:bCs/>
        </w:rPr>
        <w:t xml:space="preserve">Authority to bind:</w:t>
      </w:r>
      <w:r>
        <w:rPr>
          <w:b w:val="false"/>
          <w:bCs w:val="false"/>
        </w:rPr>
        <w:t xml:space="preserve"> Mohammed Yousuf Shariff, as Principal of NimbleStride Inc., has authority to bind the corporation and is the signatory on Appendix A. [PROVIDE: signed Appendix A attached as a separate document.]</w:t>
      </w:r>
    </w:p>
    <w:p>
      <w:pPr>
        <w:pStyle w:val="ListParagraph"/>
        <w:numPr>
          <w:ilvl w:val="0"/>
          <w:numId w:val="1"/>
        </w:numPr>
      </w:pPr>
      <w:r>
        <w:rPr>
          <w:b/>
          <w:bCs/>
        </w:rPr>
        <w:t xml:space="preserve">Accuracy declaration:</w:t>
      </w:r>
      <w:r>
        <w:rPr>
          <w:b w:val="false"/>
          <w:bCs w:val="false"/>
        </w:rPr>
        <w:t xml:space="preserve"> All information in this response is, to the best of our knowledge, complete and accurate.</w:t>
      </w:r>
    </w:p>
    <w:p>
      <w:pPr>
        <w:pStyle w:val="ListParagraph"/>
        <w:numPr>
          <w:ilvl w:val="0"/>
          <w:numId w:val="1"/>
        </w:numPr>
      </w:pPr>
      <w:r>
        <w:rPr>
          <w:b/>
          <w:bCs/>
        </w:rPr>
        <w:t xml:space="preserve">No legal obligation:</w:t>
      </w:r>
      <w:r>
        <w:rPr>
          <w:b w:val="false"/>
          <w:bCs w:val="false"/>
        </w:rPr>
        <w:t xml:space="preserve"> NimbleStride Inc. acknowledges that this RFI and its submission do not create any legal relationship or obligation regarding the procurement of any good or service.</w:t>
      </w:r>
    </w:p>
    <w:p>
      <w:pPr>
        <w:pStyle w:val="ListParagraph"/>
        <w:numPr>
          <w:ilvl w:val="0"/>
          <w:numId w:val="1"/>
        </w:numPr>
      </w:pPr>
      <w:r>
        <w:rPr>
          <w:b/>
          <w:bCs/>
        </w:rPr>
        <w:t xml:space="preserve">Addenda acknowledgement:</w:t>
      </w:r>
      <w:r>
        <w:rPr>
          <w:b w:val="false"/>
          <w:bCs w:val="false"/>
        </w:rPr>
        <w:t xml:space="preserve"> [PROVIDE: list all addendum numbers issued for RFI 26-0409 and confirm each has been reviewed; check the corresponding boxes in Appendix A.]</w:t>
      </w:r>
    </w:p>
    <w:p>
      <w:pPr>
        <w:pStyle w:val="ListParagraph"/>
        <w:numPr>
          <w:ilvl w:val="0"/>
          <w:numId w:val="1"/>
        </w:numPr>
      </w:pPr>
      <w:r>
        <w:rPr>
          <w:b/>
          <w:bCs/>
        </w:rPr>
        <w:t xml:space="preserve">Conflict of Interest declaration:</w:t>
      </w:r>
      <w:r>
        <w:rPr>
          <w:b w:val="false"/>
          <w:bCs w:val="false"/>
        </w:rPr>
        <w:t xml:space="preserve"> See Section 3.3 below.</w:t>
      </w:r>
    </w:p>
    <w:p>
      <w:r>
        <w:t xml:space="preserve"/>
      </w:r>
    </w:p>
    <w:p>
      <w:r>
        <w:rPr>
          <w:b w:val="false"/>
          <w:bCs w:val="false"/>
        </w:rPr>
        <w:t xml:space="preserve">---</w:t>
      </w:r>
    </w:p>
    <w:p>
      <w:r>
        <w:t xml:space="preserve"/>
      </w:r>
    </w:p>
    <w:p>
      <w:pPr>
        <w:pStyle w:val="Heading2"/>
      </w:pPr>
      <w:r>
        <w:rPr>
          <w:b w:val="false"/>
          <w:bCs w:val="false"/>
        </w:rPr>
        <w:t xml:space="preserve">3.3 Conflict of Interest Declaration</w:t>
      </w:r>
    </w:p>
    <w:p>
      <w:r>
        <w:t xml:space="preserve"/>
      </w:r>
    </w:p>
    <w:p>
      <w:r>
        <w:rPr>
          <w:b/>
          <w:bCs/>
        </w:rPr>
        <w:t xml:space="preserve">Requirement (p. 17):</w:t>
      </w:r>
      <w:r>
        <w:rPr>
          <w:b w:val="false"/>
          <w:bCs w:val="false"/>
        </w:rPr>
        <w:t xml:space="preserve"> The bidder must declare all potential conflicts of interest as defined in section 3.4 of the RFI. This includes disclosing the names and pertinent details of all individuals who (a) participated in the preparation of this proposal AND (b) were employees of the City of Saskatoon within twelve (12) months prior to the Submission Deadline (August 21, 2026).</w:t>
      </w:r>
    </w:p>
    <w:p>
      <w:r>
        <w:t xml:space="preserve"/>
      </w:r>
    </w:p>
    <w:p>
      <w:r>
        <w:rPr>
          <w:b/>
          <w:bCs/>
        </w:rPr>
        <w:t xml:space="preserve">How we comply:</w:t>
      </w:r>
    </w:p>
    <w:p>
      <w:r>
        <w:t xml:space="preserve"/>
      </w:r>
    </w:p>
    <w:p>
      <w:r>
        <w:rPr>
          <w:b w:val="false"/>
          <w:bCs w:val="false"/>
        </w:rPr>
        <w:t xml:space="preserve">NimbleStride Inc. and MGR Infotech confirm that, to the best of their knowledge, no actual, potential, or perceived conflict of interest exists with respect to RFI 26-0409.</w:t>
      </w:r>
    </w:p>
    <w:p>
      <w:r>
        <w:t xml:space="preserve"/>
      </w:r>
    </w:p>
    <w:p>
      <w:r>
        <w:rPr>
          <w:b/>
          <w:bCs/>
        </w:rPr>
        <w:t xml:space="preserve">Individuals who participated in the preparation of this proposal:</w:t>
      </w:r>
    </w:p>
    <w:p>
      <w:r>
        <w:t xml:space="preserve"/>
      </w:r>
    </w:p>
    <w:p>
      <w:r>
        <w:rPr>
          <w:b w:val="false"/>
          <w:bCs w:val="false"/>
        </w:rPr>
        <w:t xml:space="preserve">| Name | Role in Proposal Preparation | City of Saskatoon Employee within last 12 months? |</w:t>
      </w:r>
    </w:p>
    <w:p>
      <w:r>
        <w:rPr>
          <w:b w:val="false"/>
          <w:bCs w:val="false"/>
        </w:rPr>
        <w:t xml:space="preserve">|---|---|---|</w:t>
      </w:r>
    </w:p>
    <w:p>
      <w:r>
        <w:rPr>
          <w:b w:val="false"/>
          <w:bCs w:val="false"/>
        </w:rPr>
        <w:t xml:space="preserve">| Mohammed Yousuf Shariff | Principal; authored and reviewed this response | No |</w:t>
      </w:r>
    </w:p>
    <w:p>
      <w:r>
        <w:rPr>
          <w:b w:val="false"/>
          <w:bCs w:val="false"/>
        </w:rPr>
        <w:t xml:space="preserve">| [PROVIDE: names of any other individuals who contributed to proposal preparation] | [PROVIDE: role] | [CONFIRM: yes/no for each] |</w:t>
      </w:r>
    </w:p>
    <w:p>
      <w:r>
        <w:t xml:space="preserve"/>
      </w:r>
    </w:p>
    <w:p>
      <w:r>
        <w:rPr>
          <w:b w:val="false"/>
          <w:bCs w:val="false"/>
        </w:rPr>
        <w:t xml:space="preserve">Neither NimbleStride Inc., MGR Infotech, nor principal Mohammed Yousuf Shariff holds a current employment, financial, or familial relationship with any employee of the City of Saskatoon that could improperly influence the award or delivery of this contract.</w:t>
      </w:r>
    </w:p>
    <w:p>
      <w:r>
        <w:t xml:space="preserve"/>
      </w:r>
    </w:p>
    <w:p>
      <w:r>
        <w:rPr>
          <w:b w:val="false"/>
          <w:bCs w:val="false"/>
        </w:rPr>
        <w:t xml:space="preserve">Should any conflict arise during the engagement, NimbleStride Inc. commits to disclosing it immediately in writing to the City's designated contract authority.</w:t>
      </w:r>
    </w:p>
    <w:p>
      <w:r>
        <w:t xml:space="preserve"/>
      </w:r>
    </w:p>
    <w:p>
      <w:r>
        <w:rPr>
          <w:b w:val="false"/>
          <w:bCs w:val="false"/>
        </w:rPr>
        <w:t xml:space="preserve">&gt; [PROVIDE: review this declaration against section 3.4 of the RFI document for the precise definition of "conflict of interest" applicable to this procurement, and confirm the declaration is complete.]</w:t>
      </w:r>
    </w:p>
    <w:p>
      <w:r>
        <w:t xml:space="preserve"/>
      </w:r>
    </w:p>
    <w:p>
      <w:r>
        <w:rPr>
          <w:b w:val="false"/>
          <w:bCs w:val="false"/>
        </w:rPr>
        <w:t xml:space="preserve">---</w:t>
      </w:r>
    </w:p>
    <w:p>
      <w:r>
        <w:t xml:space="preserve"/>
      </w:r>
    </w:p>
    <w:p>
      <w:pPr>
        <w:pStyle w:val="Heading2"/>
      </w:pPr>
      <w:r>
        <w:rPr>
          <w:b w:val="false"/>
          <w:bCs w:val="false"/>
        </w:rPr>
        <w:t xml:space="preserve">3.4 Data Residency, Privacy &amp; LAFOIP Compliance</w:t>
      </w:r>
    </w:p>
    <w:p>
      <w:r>
        <w:t xml:space="preserve"/>
      </w:r>
    </w:p>
    <w:p>
      <w:pPr>
        <w:pStyle w:val="Heading3"/>
      </w:pPr>
      <w:r>
        <w:rPr>
          <w:b w:val="false"/>
          <w:bCs w:val="false"/>
        </w:rPr>
        <w:t xml:space="preserve">Requirement (pp. 1, 3): Canadian Data Hosting &amp; LAFOIP</w:t>
      </w:r>
    </w:p>
    <w:p>
      <w:r>
        <w:t xml:space="preserve"/>
      </w:r>
    </w:p>
    <w:p>
      <w:r>
        <w:rPr>
          <w:b w:val="false"/>
          <w:bCs w:val="false"/>
        </w:rPr>
        <w:t xml:space="preserve">The City requires that the solution meet LAFOIP (Local Authority Freedom of Information and Protection of Privacy Act — Saskatchewan) requirements. Where Canadian data hosting is not available, vendors must clearly identify data hosting location(s) and describe how they meet the City's data residency, security, privacy, and regulatory requirements.</w:t>
      </w:r>
    </w:p>
    <w:p>
      <w:r>
        <w:t xml:space="preserve"/>
      </w:r>
    </w:p>
    <w:p>
      <w:r>
        <w:rPr>
          <w:b/>
          <w:bCs/>
        </w:rPr>
        <w:t xml:space="preserve">How we comply:</w:t>
      </w:r>
    </w:p>
    <w:p>
      <w:r>
        <w:t xml:space="preserve"/>
      </w:r>
    </w:p>
    <w:p>
      <w:r>
        <w:rPr>
          <w:b/>
          <w:bCs/>
        </w:rPr>
        <w:t xml:space="preserve">Data Residency:</w:t>
      </w:r>
      <w:r>
        <w:rPr>
          <w:b w:val="false"/>
          <w:bCs w:val="false"/>
        </w:rPr>
        <w:t xml:space="preserve"> In-Canada data residency is standard practice across the NimbleStride product portfolio. All platforms are deployed on Canadian-region cloud infrastructure (e.g., AWS Canada Central / ca-central-1), with all data stored and processed in Canada. NimbleStride can guarantee in-Canada data residency for this engagement, with no data subject to foreign extraterritorial claims.</w:t>
      </w:r>
    </w:p>
    <w:p>
      <w:r>
        <w:t xml:space="preserve"/>
      </w:r>
    </w:p>
    <w:p>
      <w:r>
        <w:rPr>
          <w:b/>
          <w:bCs/>
        </w:rPr>
        <w:t xml:space="preserve">Data Security Controls:</w:t>
      </w:r>
    </w:p>
    <w:p>
      <w:pPr>
        <w:pStyle w:val="ListParagraph"/>
        <w:numPr>
          <w:ilvl w:val="0"/>
          <w:numId w:val="1"/>
        </w:numPr>
      </w:pPr>
      <w:r>
        <w:rPr>
          <w:b w:val="false"/>
          <w:bCs w:val="false"/>
        </w:rPr>
        <w:t xml:space="preserve">Encryption at rest: AES-256</w:t>
      </w:r>
    </w:p>
    <w:p>
      <w:pPr>
        <w:pStyle w:val="ListParagraph"/>
        <w:numPr>
          <w:ilvl w:val="0"/>
          <w:numId w:val="1"/>
        </w:numPr>
      </w:pPr>
      <w:r>
        <w:rPr>
          <w:b w:val="false"/>
          <w:bCs w:val="false"/>
        </w:rPr>
        <w:t xml:space="preserve">Encryption in transit: TLS 1.2+</w:t>
      </w:r>
    </w:p>
    <w:p>
      <w:pPr>
        <w:pStyle w:val="ListParagraph"/>
        <w:numPr>
          <w:ilvl w:val="0"/>
          <w:numId w:val="1"/>
        </w:numPr>
      </w:pPr>
      <w:r>
        <w:rPr>
          <w:b w:val="false"/>
          <w:bCs w:val="false"/>
        </w:rPr>
        <w:t xml:space="preserve">Role-based least-privilege access controls</w:t>
      </w:r>
    </w:p>
    <w:p>
      <w:pPr>
        <w:pStyle w:val="ListParagraph"/>
        <w:numPr>
          <w:ilvl w:val="0"/>
          <w:numId w:val="1"/>
        </w:numPr>
      </w:pPr>
      <w:r>
        <w:rPr>
          <w:b w:val="false"/>
          <w:bCs w:val="false"/>
        </w:rPr>
        <w:t xml:space="preserve">Full audit logging of data access</w:t>
      </w:r>
    </w:p>
    <w:p>
      <w:pPr>
        <w:pStyle w:val="ListParagraph"/>
        <w:numPr>
          <w:ilvl w:val="0"/>
          <w:numId w:val="1"/>
        </w:numPr>
      </w:pPr>
      <w:r>
        <w:rPr>
          <w:b w:val="false"/>
          <w:bCs w:val="false"/>
        </w:rPr>
        <w:t xml:space="preserve">Secure deletion or return of data at contract end per the City's data-retention schedule</w:t>
      </w:r>
    </w:p>
    <w:p>
      <w:r>
        <w:t xml:space="preserve"/>
      </w:r>
    </w:p>
    <w:p>
      <w:r>
        <w:rPr>
          <w:b/>
          <w:bCs/>
        </w:rPr>
        <w:t xml:space="preserve">LAFOIP Compliance:</w:t>
      </w:r>
      <w:r>
        <w:rPr>
          <w:b w:val="false"/>
          <w:bCs w:val="false"/>
        </w:rPr>
        <w:t xml:space="preserve"> NimbleStride Inc. is committed to handling all personal information in accordance with LAFOIP (Saskatchewan) and applicable Canadian privacy legislation, including PIPA (Alberta) and PIPEDA. Our practices include:</w:t>
      </w:r>
    </w:p>
    <w:p>
      <w:pPr>
        <w:pStyle w:val="ListParagraph"/>
        <w:numPr>
          <w:ilvl w:val="0"/>
          <w:numId w:val="1"/>
        </w:numPr>
      </w:pPr>
      <w:r>
        <w:rPr>
          <w:b w:val="false"/>
          <w:bCs w:val="false"/>
        </w:rPr>
        <w:t xml:space="preserve">Collecting only the minimum personal data necessary for the stated purpose</w:t>
      </w:r>
    </w:p>
    <w:p>
      <w:pPr>
        <w:pStyle w:val="ListParagraph"/>
        <w:numPr>
          <w:ilvl w:val="0"/>
          <w:numId w:val="1"/>
        </w:numPr>
      </w:pPr>
      <w:r>
        <w:rPr>
          <w:b w:val="false"/>
          <w:bCs w:val="false"/>
        </w:rPr>
        <w:t xml:space="preserve">Storing all personal data on Canadian-region cloud infrastructure</w:t>
      </w:r>
    </w:p>
    <w:p>
      <w:pPr>
        <w:pStyle w:val="ListParagraph"/>
        <w:numPr>
          <w:ilvl w:val="0"/>
          <w:numId w:val="1"/>
        </w:numPr>
      </w:pPr>
      <w:r>
        <w:rPr>
          <w:b w:val="false"/>
          <w:bCs w:val="false"/>
        </w:rPr>
        <w:t xml:space="preserve">Applying role-based access controls limiting access to authorized personnel only</w:t>
      </w:r>
    </w:p>
    <w:p>
      <w:pPr>
        <w:pStyle w:val="ListParagraph"/>
        <w:numPr>
          <w:ilvl w:val="0"/>
          <w:numId w:val="1"/>
        </w:numPr>
      </w:pPr>
      <w:r>
        <w:rPr>
          <w:b w:val="false"/>
          <w:bCs w:val="false"/>
        </w:rPr>
        <w:t xml:space="preserve">Logging all access for audit purposes</w:t>
      </w:r>
    </w:p>
    <w:p>
      <w:pPr>
        <w:pStyle w:val="ListParagraph"/>
        <w:numPr>
          <w:ilvl w:val="0"/>
          <w:numId w:val="1"/>
        </w:numPr>
      </w:pPr>
      <w:r>
        <w:rPr>
          <w:b w:val="false"/>
          <w:bCs w:val="false"/>
        </w:rPr>
        <w:t xml:space="preserve">Returning or securely destroying personal data at contract end per the City's schedule</w:t>
      </w:r>
    </w:p>
    <w:p>
      <w:r>
        <w:t xml:space="preserve"/>
      </w:r>
    </w:p>
    <w:p>
      <w:r>
        <w:rPr>
          <w:b w:val="false"/>
          <w:bCs w:val="false"/>
        </w:rPr>
        <w:t xml:space="preserve">&gt; [CONFIRM: whether the proposed solution involves Protected A, Protected B, or higher-classified data under the City's classification framework, and whether a Security Requirements Checklist (SRC) or equivalent must be completed. NimbleStride will comply with all additional controls specified.]</w:t>
      </w:r>
    </w:p>
    <w:p>
      <w:r>
        <w:t xml:space="preserve"/>
      </w:r>
    </w:p>
    <w:p>
      <w:r>
        <w:rPr>
          <w:b w:val="false"/>
          <w:bCs w:val="false"/>
        </w:rPr>
        <w:t xml:space="preserve">&gt; </w:t>
      </w:r>
      <w:r>
        <w:rPr>
          <w:b/>
          <w:bCs/>
        </w:rPr>
        <w:t xml:space="preserve">⚠️ POTENTIAL GAP — LAFOIP Attestation for a COTS/Third-Party Platform:</w:t>
      </w:r>
      <w:r>
        <w:rPr>
          <w:b w:val="false"/>
          <w:bCs w:val="false"/>
        </w:rPr>
        <w:t xml:space="preserve"> If NimbleStride is proposing a third-party platform (rather than a custom-built solution), the LAFOIP compliance posture of that platform vendor must also be assessed and documented. [PROVIDE: the platform vendor's LAFOIP/privacy compliance documentation, data processing agreements, and confirmation of Canadian data residency for the proposed platform.]</w:t>
      </w:r>
    </w:p>
    <w:p>
      <w:r>
        <w:t xml:space="preserve"/>
      </w:r>
    </w:p>
    <w:p>
      <w:r>
        <w:rPr>
          <w:b w:val="false"/>
          <w:bCs w:val="false"/>
        </w:rPr>
        <w:t xml:space="preserve">---</w:t>
      </w:r>
    </w:p>
    <w:p>
      <w:r>
        <w:t xml:space="preserve"/>
      </w:r>
    </w:p>
    <w:p>
      <w:pPr>
        <w:pStyle w:val="Heading2"/>
      </w:pPr>
      <w:r>
        <w:rPr>
          <w:b w:val="false"/>
          <w:bCs w:val="false"/>
        </w:rPr>
        <w:t xml:space="preserve">3.5 Submission Structure Compliance</w:t>
      </w:r>
    </w:p>
    <w:p>
      <w:r>
        <w:t xml:space="preserve"/>
      </w:r>
    </w:p>
    <w:p>
      <w:r>
        <w:rPr>
          <w:b/>
          <w:bCs/>
        </w:rPr>
        <w:t xml:space="preserve">Requirement (p. 3):</w:t>
      </w:r>
      <w:r>
        <w:rPr>
          <w:b w:val="false"/>
          <w:bCs w:val="false"/>
        </w:rPr>
        <w:t xml:space="preserve"> Respondents should structure their submission according to the sections outlined in the RFI document.</w:t>
      </w:r>
    </w:p>
    <w:p>
      <w:r>
        <w:t xml:space="preserve"/>
      </w:r>
    </w:p>
    <w:p>
      <w:r>
        <w:rPr>
          <w:b/>
          <w:bCs/>
        </w:rPr>
        <w:t xml:space="preserve">How we comply:</w:t>
      </w:r>
      <w:r>
        <w:rPr>
          <w:b w:val="false"/>
          <w:bCs w:val="false"/>
        </w:rPr>
        <w:t xml:space="preserve"> This response follows the structure prescribed in RFI 26-0409. Section headings correspond to the RFI's requested information areas. Supporting materials (screenshots, workflow diagrams, sample reports, sample dashboards) are included where available. [PROVIDE: attach any available screenshots, workflow diagrams, sample reports, or sample dashboards for the proposed solution.]</w:t>
      </w:r>
    </w:p>
    <w:p>
      <w:r>
        <w:t xml:space="preserve"/>
      </w:r>
    </w:p>
    <w:p>
      <w:r>
        <w:rPr>
          <w:b w:val="false"/>
          <w:bCs w:val="false"/>
        </w:rPr>
        <w:t xml:space="preserve">Where capabilities are described, the following availability designations are used throughout this response:</w:t>
      </w:r>
    </w:p>
    <w:p>
      <w:pPr>
        <w:pStyle w:val="ListParagraph"/>
        <w:numPr>
          <w:ilvl w:val="0"/>
          <w:numId w:val="1"/>
        </w:numPr>
      </w:pPr>
      <w:r>
        <w:rPr>
          <w:b/>
          <w:bCs/>
        </w:rPr>
        <w:t xml:space="preserve">OOTB</w:t>
      </w:r>
      <w:r>
        <w:rPr>
          <w:b w:val="false"/>
          <w:bCs w:val="false"/>
        </w:rPr>
        <w:t xml:space="preserve"> — Out of the Box</w:t>
      </w:r>
    </w:p>
    <w:p>
      <w:pPr>
        <w:pStyle w:val="ListParagraph"/>
        <w:numPr>
          <w:ilvl w:val="0"/>
          <w:numId w:val="1"/>
        </w:numPr>
      </w:pPr>
      <w:r>
        <w:rPr>
          <w:b/>
          <w:bCs/>
        </w:rPr>
        <w:t xml:space="preserve">Config</w:t>
      </w:r>
      <w:r>
        <w:rPr>
          <w:b w:val="false"/>
          <w:bCs w:val="false"/>
        </w:rPr>
        <w:t xml:space="preserve"> — Through Configuration</w:t>
      </w:r>
    </w:p>
    <w:p>
      <w:pPr>
        <w:pStyle w:val="ListParagraph"/>
        <w:numPr>
          <w:ilvl w:val="0"/>
          <w:numId w:val="1"/>
        </w:numPr>
      </w:pPr>
      <w:r>
        <w:rPr>
          <w:b/>
          <w:bCs/>
        </w:rPr>
        <w:t xml:space="preserve">Custom</w:t>
      </w:r>
      <w:r>
        <w:rPr>
          <w:b w:val="false"/>
          <w:bCs w:val="false"/>
        </w:rPr>
        <w:t xml:space="preserve"> — Through Customization</w:t>
      </w:r>
    </w:p>
    <w:p>
      <w:pPr>
        <w:pStyle w:val="ListParagraph"/>
        <w:numPr>
          <w:ilvl w:val="0"/>
          <w:numId w:val="1"/>
        </w:numPr>
      </w:pPr>
      <w:r>
        <w:rPr>
          <w:b/>
          <w:bCs/>
        </w:rPr>
        <w:t xml:space="preserve">3PI</w:t>
      </w:r>
      <w:r>
        <w:rPr>
          <w:b w:val="false"/>
          <w:bCs w:val="false"/>
        </w:rPr>
        <w:t xml:space="preserve"> — Through Third-Party Integration</w:t>
      </w:r>
    </w:p>
    <w:p>
      <w:pPr>
        <w:pStyle w:val="ListParagraph"/>
        <w:numPr>
          <w:ilvl w:val="0"/>
          <w:numId w:val="1"/>
        </w:numPr>
      </w:pPr>
      <w:r>
        <w:rPr>
          <w:b/>
          <w:bCs/>
        </w:rPr>
        <w:t xml:space="preserve">Future</w:t>
      </w:r>
      <w:r>
        <w:rPr>
          <w:b w:val="false"/>
          <w:bCs w:val="false"/>
        </w:rPr>
        <w:t xml:space="preserve"> — Planned for Future Release</w:t>
      </w:r>
    </w:p>
    <w:p>
      <w:pPr>
        <w:pStyle w:val="ListParagraph"/>
        <w:numPr>
          <w:ilvl w:val="0"/>
          <w:numId w:val="1"/>
        </w:numPr>
      </w:pPr>
      <w:r>
        <w:rPr>
          <w:b/>
          <w:bCs/>
        </w:rPr>
        <w:t xml:space="preserve">N/A</w:t>
      </w:r>
      <w:r>
        <w:rPr>
          <w:b w:val="false"/>
          <w:bCs w:val="false"/>
        </w:rPr>
        <w:t xml:space="preserve"> — Not Available</w:t>
      </w:r>
    </w:p>
    <w:p>
      <w:r>
        <w:t xml:space="preserve"/>
      </w:r>
    </w:p>
    <w:p>
      <w:r>
        <w:rPr>
          <w:b w:val="false"/>
          <w:bCs w:val="false"/>
        </w:rPr>
        <w:t xml:space="preserve">---</w:t>
      </w:r>
    </w:p>
    <w:p>
      <w:r>
        <w:t xml:space="preserve"/>
      </w:r>
    </w:p>
    <w:p>
      <w:pPr>
        <w:pStyle w:val="Heading1"/>
      </w:pPr>
      <w:r>
        <w:rPr>
          <w:b w:val="false"/>
          <w:bCs w:val="false"/>
        </w:rPr>
        <w:t xml:space="preserve">4. Technical Approach</w:t>
      </w:r>
    </w:p>
    <w:p>
      <w:r>
        <w:t xml:space="preserve"/>
      </w:r>
    </w:p>
    <w:p>
      <w:r>
        <w:rPr>
          <w:b w:val="false"/>
          <w:bCs w:val="false"/>
        </w:rPr>
        <w:t xml:space="preserve">&gt; </w:t>
      </w:r>
      <w:r>
        <w:rPr>
          <w:b/>
          <w:bCs/>
        </w:rPr>
        <w:t xml:space="preserve">Note to NimbleStride:</w:t>
      </w:r>
      <w:r>
        <w:rPr>
          <w:b w:val="false"/>
          <w:bCs w:val="false"/>
        </w:rPr>
        <w:t xml:space="preserve"> The RFI document contains detailed functional and technical questions across multiple topic areas (land management, lease management, GIS integration, reporting, workflow, integrations, etc.). The subsections below are structured to mirror the RFI's question areas. Each requires substantive input from NimbleStride before submission. Where a third-party platform is being proposed, the platform vendor's product documentation and feature matrix should be used to populate these sections.</w:t>
      </w:r>
    </w:p>
    <w:p>
      <w:r>
        <w:t xml:space="preserve"/>
      </w:r>
    </w:p>
    <w:p>
      <w:r>
        <w:rPr>
          <w:b w:val="false"/>
          <w:bCs w:val="false"/>
        </w:rPr>
        <w:t xml:space="preserve">---</w:t>
      </w:r>
    </w:p>
    <w:p>
      <w:r>
        <w:t xml:space="preserve"/>
      </w:r>
    </w:p>
    <w:p>
      <w:pPr>
        <w:pStyle w:val="Heading2"/>
      </w:pPr>
      <w:r>
        <w:rPr>
          <w:b w:val="false"/>
          <w:bCs w:val="false"/>
        </w:rPr>
        <w:t xml:space="preserve">4.1 Solution Overview &amp; Architecture</w:t>
      </w:r>
    </w:p>
    <w:p>
      <w:r>
        <w:t xml:space="preserve"/>
      </w:r>
    </w:p>
    <w:p>
      <w:r>
        <w:rPr>
          <w:b w:val="false"/>
          <w:bCs w:val="false"/>
        </w:rPr>
        <w:t xml:space="preserve">[PROVIDE:</w:t>
      </w:r>
    </w:p>
    <w:p>
      <w:pPr>
        <w:pStyle w:val="ListParagraph"/>
        <w:numPr>
          <w:ilvl w:val="0"/>
          <w:numId w:val="1"/>
        </w:numPr>
      </w:pPr>
      <w:r>
        <w:rPr>
          <w:b w:val="false"/>
          <w:bCs w:val="false"/>
        </w:rPr>
        <w:t xml:space="preserve">Name and version of the proposed solution (COTS product, SaaS platform, or custom-built application)</w:t>
      </w:r>
    </w:p>
    <w:p>
      <w:pPr>
        <w:pStyle w:val="ListParagraph"/>
        <w:numPr>
          <w:ilvl w:val="0"/>
          <w:numId w:val="1"/>
        </w:numPr>
      </w:pPr>
      <w:r>
        <w:rPr>
          <w:b w:val="false"/>
          <w:bCs w:val="false"/>
        </w:rPr>
        <w:t xml:space="preserve">High-level architecture diagram showing system components, integrations, and data flows</w:t>
      </w:r>
    </w:p>
    <w:p>
      <w:pPr>
        <w:pStyle w:val="ListParagraph"/>
        <w:numPr>
          <w:ilvl w:val="0"/>
          <w:numId w:val="1"/>
        </w:numPr>
      </w:pPr>
      <w:r>
        <w:rPr>
          <w:b w:val="false"/>
          <w:bCs w:val="false"/>
        </w:rPr>
        <w:t xml:space="preserve">Deployment model: SaaS / cloud-hosted / on-premises / hybrid</w:t>
      </w:r>
    </w:p>
    <w:p>
      <w:pPr>
        <w:pStyle w:val="ListParagraph"/>
        <w:numPr>
          <w:ilvl w:val="0"/>
          <w:numId w:val="1"/>
        </w:numPr>
      </w:pPr>
      <w:r>
        <w:rPr>
          <w:b w:val="false"/>
          <w:bCs w:val="false"/>
        </w:rPr>
        <w:t xml:space="preserve">Hosting environment and confirmation of Canadian data residency</w:t>
      </w:r>
    </w:p>
    <w:p>
      <w:pPr>
        <w:pStyle w:val="ListParagraph"/>
        <w:numPr>
          <w:ilvl w:val="0"/>
          <w:numId w:val="1"/>
        </w:numPr>
      </w:pPr>
      <w:r>
        <w:rPr>
          <w:b w:val="false"/>
          <w:bCs w:val="false"/>
        </w:rPr>
        <w:t xml:space="preserve">Technology stack (if custom-built)</w:t>
      </w:r>
    </w:p>
    <w:p>
      <w:pPr>
        <w:pStyle w:val="ListParagraph"/>
        <w:numPr>
          <w:ilvl w:val="0"/>
          <w:numId w:val="1"/>
        </w:numPr>
      </w:pPr>
      <w:r>
        <w:rPr>
          <w:b w:val="false"/>
          <w:bCs w:val="false"/>
        </w:rPr>
        <w:t xml:space="preserve">Whether the solution is purpose-built for land and lease management or adapted from a broader platform</w:t>
      </w:r>
    </w:p>
    <w:p>
      <w:pPr>
        <w:pStyle w:val="ListParagraph"/>
        <w:numPr>
          <w:ilvl w:val="0"/>
          <w:numId w:val="1"/>
        </w:numPr>
      </w:pPr>
      <w:r>
        <w:rPr>
          <w:b w:val="false"/>
          <w:bCs w:val="false"/>
        </w:rPr>
        <w:t xml:space="preserve">Indicate availability of each major capability as OOTB / Config / Custom / 3PI / Future / N/A]</w:t>
      </w:r>
    </w:p>
    <w:p>
      <w:r>
        <w:t xml:space="preserve"/>
      </w:r>
    </w:p>
    <w:p>
      <w:r>
        <w:rPr>
          <w:b w:val="false"/>
          <w:bCs w:val="false"/>
        </w:rPr>
        <w:t xml:space="preserve">---</w:t>
      </w:r>
    </w:p>
    <w:p>
      <w:r>
        <w:t xml:space="preserve"/>
      </w:r>
    </w:p>
    <w:p>
      <w:pPr>
        <w:pStyle w:val="Heading2"/>
      </w:pPr>
      <w:r>
        <w:rPr>
          <w:b w:val="false"/>
          <w:bCs w:val="false"/>
        </w:rPr>
        <w:t xml:space="preserve">4.2 Land Management Capabilities</w:t>
      </w:r>
    </w:p>
    <w:p>
      <w:r>
        <w:t xml:space="preserve"/>
      </w:r>
    </w:p>
    <w:p>
      <w:r>
        <w:rPr>
          <w:b w:val="false"/>
          <w:bCs w:val="false"/>
        </w:rPr>
        <w:t xml:space="preserve">[PROVIDE:</w:t>
      </w:r>
    </w:p>
    <w:p>
      <w:pPr>
        <w:pStyle w:val="ListParagraph"/>
        <w:numPr>
          <w:ilvl w:val="0"/>
          <w:numId w:val="1"/>
        </w:numPr>
      </w:pPr>
      <w:r>
        <w:rPr>
          <w:b w:val="false"/>
          <w:bCs w:val="false"/>
        </w:rPr>
        <w:t xml:space="preserve">Description of land parcel management features (parcel creation, editing, spatial data management)</w:t>
      </w:r>
    </w:p>
    <w:p>
      <w:pPr>
        <w:pStyle w:val="ListParagraph"/>
        <w:numPr>
          <w:ilvl w:val="0"/>
          <w:numId w:val="1"/>
        </w:numPr>
      </w:pPr>
      <w:r>
        <w:rPr>
          <w:b w:val="false"/>
          <w:bCs w:val="false"/>
        </w:rPr>
        <w:t xml:space="preserve">Support for land title, ownership, and encumbrance tracking</w:t>
      </w:r>
    </w:p>
    <w:p>
      <w:pPr>
        <w:pStyle w:val="ListParagraph"/>
        <w:numPr>
          <w:ilvl w:val="0"/>
          <w:numId w:val="1"/>
        </w:numPr>
      </w:pPr>
      <w:r>
        <w:rPr>
          <w:b w:val="false"/>
          <w:bCs w:val="false"/>
        </w:rPr>
        <w:t xml:space="preserve">Integration with land registry or title systems</w:t>
      </w:r>
    </w:p>
    <w:p>
      <w:pPr>
        <w:pStyle w:val="ListParagraph"/>
        <w:numPr>
          <w:ilvl w:val="0"/>
          <w:numId w:val="1"/>
        </w:numPr>
      </w:pPr>
      <w:r>
        <w:rPr>
          <w:b w:val="false"/>
          <w:bCs w:val="false"/>
        </w:rPr>
        <w:t xml:space="preserve">Parcel history and audit trail capabilities</w:t>
      </w:r>
    </w:p>
    <w:p>
      <w:pPr>
        <w:pStyle w:val="ListParagraph"/>
        <w:numPr>
          <w:ilvl w:val="0"/>
          <w:numId w:val="1"/>
        </w:numPr>
      </w:pPr>
      <w:r>
        <w:rPr>
          <w:b w:val="false"/>
          <w:bCs w:val="false"/>
        </w:rPr>
        <w:t xml:space="preserve">Support for City of Saskatoon-specific land categories (e.g., municipal reserves, road right-of-way, utility corridors)</w:t>
      </w:r>
    </w:p>
    <w:p>
      <w:pPr>
        <w:pStyle w:val="ListParagraph"/>
        <w:numPr>
          <w:ilvl w:val="0"/>
          <w:numId w:val="1"/>
        </w:numPr>
      </w:pPr>
      <w:r>
        <w:rPr>
          <w:b w:val="false"/>
          <w:bCs w:val="false"/>
        </w:rPr>
        <w:t xml:space="preserve">Indicate availability: OOTB / Config / Custom / 3PI / Future / N/A for each capability</w:t>
      </w:r>
    </w:p>
    <w:p>
      <w:pPr>
        <w:pStyle w:val="ListParagraph"/>
        <w:numPr>
          <w:ilvl w:val="0"/>
          <w:numId w:val="1"/>
        </w:numPr>
      </w:pPr>
      <w:r>
        <w:rPr>
          <w:b w:val="false"/>
          <w:bCs w:val="false"/>
        </w:rPr>
        <w:t xml:space="preserve">Include screenshots or workflow diagrams where available]</w:t>
      </w:r>
    </w:p>
    <w:p>
      <w:r>
        <w:t xml:space="preserve"/>
      </w:r>
    </w:p>
    <w:p>
      <w:r>
        <w:rPr>
          <w:b w:val="false"/>
          <w:bCs w:val="false"/>
        </w:rPr>
        <w:t xml:space="preserve">---</w:t>
      </w:r>
    </w:p>
    <w:p>
      <w:r>
        <w:t xml:space="preserve"/>
      </w:r>
    </w:p>
    <w:p>
      <w:pPr>
        <w:pStyle w:val="Heading2"/>
      </w:pPr>
      <w:r>
        <w:rPr>
          <w:b w:val="false"/>
          <w:bCs w:val="false"/>
        </w:rPr>
        <w:t xml:space="preserve">4.3 Lease Management Capabilities</w:t>
      </w:r>
    </w:p>
    <w:p>
      <w:r>
        <w:t xml:space="preserve"/>
      </w:r>
    </w:p>
    <w:p>
      <w:r>
        <w:rPr>
          <w:b w:val="false"/>
          <w:bCs w:val="false"/>
        </w:rPr>
        <w:t xml:space="preserve">[PROVIDE:</w:t>
      </w:r>
    </w:p>
    <w:p>
      <w:pPr>
        <w:pStyle w:val="ListParagraph"/>
        <w:numPr>
          <w:ilvl w:val="0"/>
          <w:numId w:val="1"/>
        </w:numPr>
      </w:pPr>
      <w:r>
        <w:rPr>
          <w:b w:val="false"/>
          <w:bCs w:val="false"/>
        </w:rPr>
        <w:t xml:space="preserve">Lease lifecycle management: creation, amendment, renewal, termination</w:t>
      </w:r>
    </w:p>
    <w:p>
      <w:pPr>
        <w:pStyle w:val="ListParagraph"/>
        <w:numPr>
          <w:ilvl w:val="0"/>
          <w:numId w:val="1"/>
        </w:numPr>
      </w:pPr>
      <w:r>
        <w:rPr>
          <w:b w:val="false"/>
          <w:bCs w:val="false"/>
        </w:rPr>
        <w:t xml:space="preserve">Support for multiple lease types (commercial, residential, agricultural, licence agreements, encroachments, easements)</w:t>
      </w:r>
    </w:p>
    <w:p>
      <w:pPr>
        <w:pStyle w:val="ListParagraph"/>
        <w:numPr>
          <w:ilvl w:val="0"/>
          <w:numId w:val="1"/>
        </w:numPr>
      </w:pPr>
      <w:r>
        <w:rPr>
          <w:b w:val="false"/>
          <w:bCs w:val="false"/>
        </w:rPr>
        <w:t xml:space="preserve">Rent calculation, escalation clauses, and CPI/index-linked adjustments</w:t>
      </w:r>
    </w:p>
    <w:p>
      <w:pPr>
        <w:pStyle w:val="ListParagraph"/>
        <w:numPr>
          <w:ilvl w:val="0"/>
          <w:numId w:val="1"/>
        </w:numPr>
      </w:pPr>
      <w:r>
        <w:rPr>
          <w:b w:val="false"/>
          <w:bCs w:val="false"/>
        </w:rPr>
        <w:t xml:space="preserve">Rent roll and revenue reporting</w:t>
      </w:r>
    </w:p>
    <w:p>
      <w:pPr>
        <w:pStyle w:val="ListParagraph"/>
        <w:numPr>
          <w:ilvl w:val="0"/>
          <w:numId w:val="1"/>
        </w:numPr>
      </w:pPr>
      <w:r>
        <w:rPr>
          <w:b w:val="false"/>
          <w:bCs w:val="false"/>
        </w:rPr>
        <w:t xml:space="preserve">Critical date tracking and automated notifications (renewals, expirations, rent reviews)</w:t>
      </w:r>
    </w:p>
    <w:p>
      <w:pPr>
        <w:pStyle w:val="ListParagraph"/>
        <w:numPr>
          <w:ilvl w:val="0"/>
          <w:numId w:val="1"/>
        </w:numPr>
      </w:pPr>
      <w:r>
        <w:rPr>
          <w:b w:val="false"/>
          <w:bCs w:val="false"/>
        </w:rPr>
        <w:t xml:space="preserve">Document management and storage (lease documents, correspondence, amendments)</w:t>
      </w:r>
    </w:p>
    <w:p>
      <w:pPr>
        <w:pStyle w:val="ListParagraph"/>
        <w:numPr>
          <w:ilvl w:val="0"/>
          <w:numId w:val="1"/>
        </w:numPr>
      </w:pPr>
      <w:r>
        <w:rPr>
          <w:b w:val="false"/>
          <w:bCs w:val="false"/>
        </w:rPr>
        <w:t xml:space="preserve">Indicate availability: OOTB / Config / Custom / 3PI / Future / N/A for each capability</w:t>
      </w:r>
    </w:p>
    <w:p>
      <w:pPr>
        <w:pStyle w:val="ListParagraph"/>
        <w:numPr>
          <w:ilvl w:val="0"/>
          <w:numId w:val="1"/>
        </w:numPr>
      </w:pPr>
      <w:r>
        <w:rPr>
          <w:b w:val="false"/>
          <w:bCs w:val="false"/>
        </w:rPr>
        <w:t xml:space="preserve">Include screenshots or sample reports where available]</w:t>
      </w:r>
    </w:p>
    <w:p>
      <w:r>
        <w:t xml:space="preserve"/>
      </w:r>
    </w:p>
    <w:p>
      <w:r>
        <w:rPr>
          <w:b w:val="false"/>
          <w:bCs w:val="false"/>
        </w:rPr>
        <w:t xml:space="preserve">---</w:t>
      </w:r>
    </w:p>
    <w:p>
      <w:r>
        <w:t xml:space="preserve"/>
      </w:r>
    </w:p>
    <w:p>
      <w:pPr>
        <w:pStyle w:val="Heading2"/>
      </w:pPr>
      <w:r>
        <w:rPr>
          <w:b w:val="false"/>
          <w:bCs w:val="false"/>
        </w:rPr>
        <w:t xml:space="preserve">4.4 GIS / Spatial Integration</w:t>
      </w:r>
    </w:p>
    <w:p>
      <w:r>
        <w:t xml:space="preserve"/>
      </w:r>
    </w:p>
    <w:p>
      <w:r>
        <w:rPr>
          <w:b w:val="false"/>
          <w:bCs w:val="false"/>
        </w:rPr>
        <w:t xml:space="preserve">[PROVIDE:</w:t>
      </w:r>
    </w:p>
    <w:p>
      <w:pPr>
        <w:pStyle w:val="ListParagraph"/>
        <w:numPr>
          <w:ilvl w:val="0"/>
          <w:numId w:val="1"/>
        </w:numPr>
      </w:pPr>
      <w:r>
        <w:rPr>
          <w:b w:val="false"/>
          <w:bCs w:val="false"/>
        </w:rPr>
        <w:t xml:space="preserve">GIS integration capabilities (Esri ArcGIS, open-source GIS, or other)</w:t>
      </w:r>
    </w:p>
    <w:p>
      <w:pPr>
        <w:pStyle w:val="ListParagraph"/>
        <w:numPr>
          <w:ilvl w:val="0"/>
          <w:numId w:val="1"/>
        </w:numPr>
      </w:pPr>
      <w:r>
        <w:rPr>
          <w:b w:val="false"/>
          <w:bCs w:val="false"/>
        </w:rPr>
        <w:t xml:space="preserve">Ability to display land parcels and lease areas on a map interface</w:t>
      </w:r>
    </w:p>
    <w:p>
      <w:pPr>
        <w:pStyle w:val="ListParagraph"/>
        <w:numPr>
          <w:ilvl w:val="0"/>
          <w:numId w:val="1"/>
        </w:numPr>
      </w:pPr>
      <w:r>
        <w:rPr>
          <w:b w:val="false"/>
          <w:bCs w:val="false"/>
        </w:rPr>
        <w:t xml:space="preserve">Spatial query and analysis capabilities</w:t>
      </w:r>
    </w:p>
    <w:p>
      <w:pPr>
        <w:pStyle w:val="ListParagraph"/>
        <w:numPr>
          <w:ilvl w:val="0"/>
          <w:numId w:val="1"/>
        </w:numPr>
      </w:pPr>
      <w:r>
        <w:rPr>
          <w:b w:val="false"/>
          <w:bCs w:val="false"/>
        </w:rPr>
        <w:t xml:space="preserve">Integration with the City of Saskatoon's existing GIS environment [CONFIRM: City's GIS platform and version]</w:t>
      </w:r>
    </w:p>
    <w:p>
      <w:pPr>
        <w:pStyle w:val="ListParagraph"/>
        <w:numPr>
          <w:ilvl w:val="0"/>
          <w:numId w:val="1"/>
        </w:numPr>
      </w:pPr>
      <w:r>
        <w:rPr>
          <w:b w:val="false"/>
          <w:bCs w:val="false"/>
        </w:rPr>
        <w:t xml:space="preserve">Indicate availability: OOTB / Config / Custom / 3PI / Future / N/A</w:t>
      </w:r>
    </w:p>
    <w:p>
      <w:pPr>
        <w:pStyle w:val="ListParagraph"/>
        <w:numPr>
          <w:ilvl w:val="0"/>
          <w:numId w:val="1"/>
        </w:numPr>
      </w:pPr>
      <w:r>
        <w:rPr>
          <w:b w:val="false"/>
          <w:bCs w:val="false"/>
        </w:rPr>
        <w:t xml:space="preserve">Include screenshots of map interface where available]</w:t>
      </w:r>
    </w:p>
    <w:p>
      <w:r>
        <w:t xml:space="preserve"/>
      </w:r>
    </w:p>
    <w:p>
      <w:r>
        <w:rPr>
          <w:b w:val="false"/>
          <w:bCs w:val="false"/>
        </w:rPr>
        <w:t xml:space="preserve">---</w:t>
      </w:r>
    </w:p>
    <w:p>
      <w:r>
        <w:t xml:space="preserve"/>
      </w:r>
    </w:p>
    <w:p>
      <w:pPr>
        <w:pStyle w:val="Heading2"/>
      </w:pPr>
      <w:r>
        <w:rPr>
          <w:b w:val="false"/>
          <w:bCs w:val="false"/>
        </w:rPr>
        <w:t xml:space="preserve">4.5 Financial Management &amp; Integration</w:t>
      </w:r>
    </w:p>
    <w:p>
      <w:r>
        <w:t xml:space="preserve"/>
      </w:r>
    </w:p>
    <w:p>
      <w:r>
        <w:rPr>
          <w:b w:val="false"/>
          <w:bCs w:val="false"/>
        </w:rPr>
        <w:t xml:space="preserve">[PROVIDE:</w:t>
      </w:r>
    </w:p>
    <w:p>
      <w:pPr>
        <w:pStyle w:val="ListParagraph"/>
        <w:numPr>
          <w:ilvl w:val="0"/>
          <w:numId w:val="1"/>
        </w:numPr>
      </w:pPr>
      <w:r>
        <w:rPr>
          <w:b w:val="false"/>
          <w:bCs w:val="false"/>
        </w:rPr>
        <w:t xml:space="preserve">Accounts receivable and invoicing capabilities within the solution</w:t>
      </w:r>
    </w:p>
    <w:p>
      <w:pPr>
        <w:pStyle w:val="ListParagraph"/>
        <w:numPr>
          <w:ilvl w:val="0"/>
          <w:numId w:val="1"/>
        </w:numPr>
      </w:pPr>
      <w:r>
        <w:rPr>
          <w:b w:val="false"/>
          <w:bCs w:val="false"/>
        </w:rPr>
        <w:t xml:space="preserve">Integration with the City's financial/ERP system [CONFIRM: City's ERP platform — e.g., SAP, PeopleSoft, Dynamics]</w:t>
      </w:r>
    </w:p>
    <w:p>
      <w:pPr>
        <w:pStyle w:val="ListParagraph"/>
        <w:numPr>
          <w:ilvl w:val="0"/>
          <w:numId w:val="1"/>
        </w:numPr>
      </w:pPr>
      <w:r>
        <w:rPr>
          <w:b w:val="false"/>
          <w:bCs w:val="false"/>
        </w:rPr>
        <w:t xml:space="preserve">Revenue recognition and reporting</w:t>
      </w:r>
    </w:p>
    <w:p>
      <w:pPr>
        <w:pStyle w:val="ListParagraph"/>
        <w:numPr>
          <w:ilvl w:val="0"/>
          <w:numId w:val="1"/>
        </w:numPr>
      </w:pPr>
      <w:r>
        <w:rPr>
          <w:b w:val="false"/>
          <w:bCs w:val="false"/>
        </w:rPr>
        <w:t xml:space="preserve">Arrears tracking and collections workflow</w:t>
      </w:r>
    </w:p>
    <w:p>
      <w:pPr>
        <w:pStyle w:val="ListParagraph"/>
        <w:numPr>
          <w:ilvl w:val="0"/>
          <w:numId w:val="1"/>
        </w:numPr>
      </w:pPr>
      <w:r>
        <w:rPr>
          <w:b w:val="false"/>
          <w:bCs w:val="false"/>
        </w:rPr>
        <w:t xml:space="preserve">Indicate availability: OOTB / Config / Custom / 3PI / Future / N/A]</w:t>
      </w:r>
    </w:p>
    <w:p>
      <w:r>
        <w:t xml:space="preserve"/>
      </w:r>
    </w:p>
    <w:p>
      <w:r>
        <w:rPr>
          <w:b w:val="false"/>
          <w:bCs w:val="false"/>
        </w:rPr>
        <w:t xml:space="preserve">---</w:t>
      </w:r>
    </w:p>
    <w:p>
      <w:r>
        <w:t xml:space="preserve"/>
      </w:r>
    </w:p>
    <w:p>
      <w:pPr>
        <w:pStyle w:val="Heading2"/>
      </w:pPr>
      <w:r>
        <w:rPr>
          <w:b w:val="false"/>
          <w:bCs w:val="false"/>
        </w:rPr>
        <w:t xml:space="preserve">4.6 Workflow, Approvals &amp; Notifications</w:t>
      </w:r>
    </w:p>
    <w:p>
      <w:r>
        <w:t xml:space="preserve"/>
      </w:r>
    </w:p>
    <w:p>
      <w:r>
        <w:rPr>
          <w:b w:val="false"/>
          <w:bCs w:val="false"/>
        </w:rPr>
        <w:t xml:space="preserve">[PROVIDE:</w:t>
      </w:r>
    </w:p>
    <w:p>
      <w:pPr>
        <w:pStyle w:val="ListParagraph"/>
        <w:numPr>
          <w:ilvl w:val="0"/>
          <w:numId w:val="1"/>
        </w:numPr>
      </w:pPr>
      <w:r>
        <w:rPr>
          <w:b w:val="false"/>
          <w:bCs w:val="false"/>
        </w:rPr>
        <w:t xml:space="preserve">Configurable workflow engine for lease approvals, amendments, and renewals</w:t>
      </w:r>
    </w:p>
    <w:p>
      <w:pPr>
        <w:pStyle w:val="ListParagraph"/>
        <w:numPr>
          <w:ilvl w:val="0"/>
          <w:numId w:val="1"/>
        </w:numPr>
      </w:pPr>
      <w:r>
        <w:rPr>
          <w:b w:val="false"/>
          <w:bCs w:val="false"/>
        </w:rPr>
        <w:t xml:space="preserve">Role-based approval routing</w:t>
      </w:r>
    </w:p>
    <w:p>
      <w:pPr>
        <w:pStyle w:val="ListParagraph"/>
        <w:numPr>
          <w:ilvl w:val="0"/>
          <w:numId w:val="1"/>
        </w:numPr>
      </w:pPr>
      <w:r>
        <w:rPr>
          <w:b w:val="false"/>
          <w:bCs w:val="false"/>
        </w:rPr>
        <w:t xml:space="preserve">Automated email/notification triggers for critical dates and workflow steps</w:t>
      </w:r>
    </w:p>
    <w:p>
      <w:pPr>
        <w:pStyle w:val="ListParagraph"/>
        <w:numPr>
          <w:ilvl w:val="0"/>
          <w:numId w:val="1"/>
        </w:numPr>
      </w:pPr>
      <w:r>
        <w:rPr>
          <w:b w:val="false"/>
          <w:bCs w:val="false"/>
        </w:rPr>
        <w:t xml:space="preserve">Audit trail for all workflow actions</w:t>
      </w:r>
    </w:p>
    <w:p>
      <w:pPr>
        <w:pStyle w:val="ListParagraph"/>
        <w:numPr>
          <w:ilvl w:val="0"/>
          <w:numId w:val="1"/>
        </w:numPr>
      </w:pPr>
      <w:r>
        <w:rPr>
          <w:b w:val="false"/>
          <w:bCs w:val="false"/>
        </w:rPr>
        <w:t xml:space="preserve">Indicate availability: OOTB / Config / Custom / 3PI / Future / N/A]</w:t>
      </w:r>
    </w:p>
    <w:p>
      <w:r>
        <w:t xml:space="preserve"/>
      </w:r>
    </w:p>
    <w:p>
      <w:r>
        <w:rPr>
          <w:b w:val="false"/>
          <w:bCs w:val="false"/>
        </w:rPr>
        <w:t xml:space="preserve">---</w:t>
      </w:r>
    </w:p>
    <w:p>
      <w:r>
        <w:t xml:space="preserve"/>
      </w:r>
    </w:p>
    <w:p>
      <w:pPr>
        <w:pStyle w:val="Heading2"/>
      </w:pPr>
      <w:r>
        <w:rPr>
          <w:b w:val="false"/>
          <w:bCs w:val="false"/>
        </w:rPr>
        <w:t xml:space="preserve">4.7 Reporting &amp; Analytics</w:t>
      </w:r>
    </w:p>
    <w:p>
      <w:r>
        <w:t xml:space="preserve"/>
      </w:r>
    </w:p>
    <w:p>
      <w:r>
        <w:rPr>
          <w:b w:val="false"/>
          <w:bCs w:val="false"/>
        </w:rPr>
        <w:t xml:space="preserve">[PROVIDE:</w:t>
      </w:r>
    </w:p>
    <w:p>
      <w:pPr>
        <w:pStyle w:val="ListParagraph"/>
        <w:numPr>
          <w:ilvl w:val="0"/>
          <w:numId w:val="1"/>
        </w:numPr>
      </w:pPr>
      <w:r>
        <w:rPr>
          <w:b w:val="false"/>
          <w:bCs w:val="false"/>
        </w:rPr>
        <w:t xml:space="preserve">Standard (OOTB) reports available for land and lease management</w:t>
      </w:r>
    </w:p>
    <w:p>
      <w:pPr>
        <w:pStyle w:val="ListParagraph"/>
        <w:numPr>
          <w:ilvl w:val="0"/>
          <w:numId w:val="1"/>
        </w:numPr>
      </w:pPr>
      <w:r>
        <w:rPr>
          <w:b w:val="false"/>
          <w:bCs w:val="false"/>
        </w:rPr>
        <w:t xml:space="preserve">Ad hoc reporting and self-service analytics capabilities</w:t>
      </w:r>
    </w:p>
    <w:p>
      <w:pPr>
        <w:pStyle w:val="ListParagraph"/>
        <w:numPr>
          <w:ilvl w:val="0"/>
          <w:numId w:val="1"/>
        </w:numPr>
      </w:pPr>
      <w:r>
        <w:rPr>
          <w:b w:val="false"/>
          <w:bCs w:val="false"/>
        </w:rPr>
        <w:t xml:space="preserve">Dashboard and KPI visualization</w:t>
      </w:r>
    </w:p>
    <w:p>
      <w:pPr>
        <w:pStyle w:val="ListParagraph"/>
        <w:numPr>
          <w:ilvl w:val="0"/>
          <w:numId w:val="1"/>
        </w:numPr>
      </w:pPr>
      <w:r>
        <w:rPr>
          <w:b w:val="false"/>
          <w:bCs w:val="false"/>
        </w:rPr>
        <w:t xml:space="preserve">Export formats (PDF, Excel, CSV, etc.)</w:t>
      </w:r>
    </w:p>
    <w:p>
      <w:pPr>
        <w:pStyle w:val="ListParagraph"/>
        <w:numPr>
          <w:ilvl w:val="0"/>
          <w:numId w:val="1"/>
        </w:numPr>
      </w:pPr>
      <w:r>
        <w:rPr>
          <w:b w:val="false"/>
          <w:bCs w:val="false"/>
        </w:rPr>
        <w:t xml:space="preserve">Sample reports and sample dashboards — attach as supporting materials</w:t>
      </w:r>
    </w:p>
    <w:p>
      <w:pPr>
        <w:pStyle w:val="ListParagraph"/>
        <w:numPr>
          <w:ilvl w:val="0"/>
          <w:numId w:val="1"/>
        </w:numPr>
      </w:pPr>
      <w:r>
        <w:rPr>
          <w:b w:val="false"/>
          <w:bCs w:val="false"/>
        </w:rPr>
        <w:t xml:space="preserve">Indicate availability: OOTB / Config / Custom / 3PI / Future / N/A]</w:t>
      </w:r>
    </w:p>
    <w:p>
      <w:r>
        <w:t xml:space="preserve"/>
      </w:r>
    </w:p>
    <w:p>
      <w:r>
        <w:rPr>
          <w:b w:val="false"/>
          <w:bCs w:val="false"/>
        </w:rPr>
        <w:t xml:space="preserve">---</w:t>
      </w:r>
    </w:p>
    <w:p>
      <w:r>
        <w:t xml:space="preserve"/>
      </w:r>
    </w:p>
    <w:p>
      <w:pPr>
        <w:pStyle w:val="Heading2"/>
      </w:pPr>
      <w:r>
        <w:rPr>
          <w:b w:val="false"/>
          <w:bCs w:val="false"/>
        </w:rPr>
        <w:t xml:space="preserve">4.8 Document Management</w:t>
      </w:r>
    </w:p>
    <w:p>
      <w:r>
        <w:t xml:space="preserve"/>
      </w:r>
    </w:p>
    <w:p>
      <w:r>
        <w:rPr>
          <w:b w:val="false"/>
          <w:bCs w:val="false"/>
        </w:rPr>
        <w:t xml:space="preserve">[PROVIDE:</w:t>
      </w:r>
    </w:p>
    <w:p>
      <w:pPr>
        <w:pStyle w:val="ListParagraph"/>
        <w:numPr>
          <w:ilvl w:val="0"/>
          <w:numId w:val="1"/>
        </w:numPr>
      </w:pPr>
      <w:r>
        <w:rPr>
          <w:b w:val="false"/>
          <w:bCs w:val="false"/>
        </w:rPr>
        <w:t xml:space="preserve">Document storage and version control within the solution</w:t>
      </w:r>
    </w:p>
    <w:p>
      <w:pPr>
        <w:pStyle w:val="ListParagraph"/>
        <w:numPr>
          <w:ilvl w:val="0"/>
          <w:numId w:val="1"/>
        </w:numPr>
      </w:pPr>
      <w:r>
        <w:rPr>
          <w:b w:val="false"/>
          <w:bCs w:val="false"/>
        </w:rPr>
        <w:t xml:space="preserve">Integration with external document management systems (e.g., SharePoint, OpenText)</w:t>
      </w:r>
    </w:p>
    <w:p>
      <w:pPr>
        <w:pStyle w:val="ListParagraph"/>
        <w:numPr>
          <w:ilvl w:val="0"/>
          <w:numId w:val="1"/>
        </w:numPr>
      </w:pPr>
      <w:r>
        <w:rPr>
          <w:b w:val="false"/>
          <w:bCs w:val="false"/>
        </w:rPr>
        <w:t xml:space="preserve">Document templates and automated document generation</w:t>
      </w:r>
    </w:p>
    <w:p>
      <w:pPr>
        <w:pStyle w:val="ListParagraph"/>
        <w:numPr>
          <w:ilvl w:val="0"/>
          <w:numId w:val="1"/>
        </w:numPr>
      </w:pPr>
      <w:r>
        <w:rPr>
          <w:b w:val="false"/>
          <w:bCs w:val="false"/>
        </w:rPr>
        <w:t xml:space="preserve">Indicate availability: OOTB / Config / Custom / 3PI / Future / N/A]</w:t>
      </w:r>
    </w:p>
    <w:p>
      <w:r>
        <w:t xml:space="preserve"/>
      </w:r>
    </w:p>
    <w:p>
      <w:r>
        <w:rPr>
          <w:b w:val="false"/>
          <w:bCs w:val="false"/>
        </w:rPr>
        <w:t xml:space="preserve">---</w:t>
      </w:r>
    </w:p>
    <w:p>
      <w:r>
        <w:t xml:space="preserve"/>
      </w:r>
    </w:p>
    <w:p>
      <w:pPr>
        <w:pStyle w:val="Heading2"/>
      </w:pPr>
      <w:r>
        <w:rPr>
          <w:b w:val="false"/>
          <w:bCs w:val="false"/>
        </w:rPr>
        <w:t xml:space="preserve">4.9 System Integration &amp; APIs</w:t>
      </w:r>
    </w:p>
    <w:p>
      <w:r>
        <w:t xml:space="preserve"/>
      </w:r>
    </w:p>
    <w:p>
      <w:r>
        <w:rPr>
          <w:b w:val="false"/>
          <w:bCs w:val="false"/>
        </w:rPr>
        <w:t xml:space="preserve">[PROVIDE:</w:t>
      </w:r>
    </w:p>
    <w:p>
      <w:pPr>
        <w:pStyle w:val="ListParagraph"/>
        <w:numPr>
          <w:ilvl w:val="0"/>
          <w:numId w:val="1"/>
        </w:numPr>
      </w:pPr>
      <w:r>
        <w:rPr>
          <w:b w:val="false"/>
          <w:bCs w:val="false"/>
        </w:rPr>
        <w:t xml:space="preserve">Available APIs (REST, SOAP, GraphQL) for integration with City systems</w:t>
      </w:r>
    </w:p>
    <w:p>
      <w:pPr>
        <w:pStyle w:val="ListParagraph"/>
        <w:numPr>
          <w:ilvl w:val="0"/>
          <w:numId w:val="1"/>
        </w:numPr>
      </w:pPr>
      <w:r>
        <w:rPr>
          <w:b w:val="false"/>
          <w:bCs w:val="false"/>
        </w:rPr>
        <w:t xml:space="preserve">Pre-built connectors or integration adapters</w:t>
      </w:r>
    </w:p>
    <w:p>
      <w:pPr>
        <w:pStyle w:val="ListParagraph"/>
        <w:numPr>
          <w:ilvl w:val="0"/>
          <w:numId w:val="1"/>
        </w:numPr>
      </w:pPr>
      <w:r>
        <w:rPr>
          <w:b w:val="false"/>
          <w:bCs w:val="false"/>
        </w:rPr>
        <w:t xml:space="preserve">Integration with Microsoft 365 / Azure Active Directory for authentication (SSO/SAML)</w:t>
      </w:r>
    </w:p>
    <w:p>
      <w:pPr>
        <w:pStyle w:val="ListParagraph"/>
        <w:numPr>
          <w:ilvl w:val="0"/>
          <w:numId w:val="1"/>
        </w:numPr>
      </w:pPr>
      <w:r>
        <w:rPr>
          <w:b w:val="false"/>
          <w:bCs w:val="false"/>
        </w:rPr>
        <w:t xml:space="preserve">Integration with the City's GIS, ERP, and document management systems</w:t>
      </w:r>
    </w:p>
    <w:p>
      <w:pPr>
        <w:pStyle w:val="ListParagraph"/>
        <w:numPr>
          <w:ilvl w:val="0"/>
          <w:numId w:val="1"/>
        </w:numPr>
      </w:pPr>
      <w:r>
        <w:rPr>
          <w:b w:val="false"/>
          <w:bCs w:val="false"/>
        </w:rPr>
        <w:t xml:space="preserve">Indicate availability: OOTB / Config / Custom / 3PI / Future / N/A]</w:t>
      </w:r>
    </w:p>
    <w:p>
      <w:r>
        <w:t xml:space="preserve"/>
      </w:r>
    </w:p>
    <w:p>
      <w:r>
        <w:rPr>
          <w:b w:val="false"/>
          <w:bCs w:val="false"/>
        </w:rPr>
        <w:t xml:space="preserve">---</w:t>
      </w:r>
    </w:p>
    <w:p>
      <w:r>
        <w:t xml:space="preserve"/>
      </w:r>
    </w:p>
    <w:p>
      <w:pPr>
        <w:pStyle w:val="Heading2"/>
      </w:pPr>
      <w:r>
        <w:rPr>
          <w:b w:val="false"/>
          <w:bCs w:val="false"/>
        </w:rPr>
        <w:t xml:space="preserve">4.10 Security, Access Control &amp; Audit</w:t>
      </w:r>
    </w:p>
    <w:p>
      <w:r>
        <w:t xml:space="preserve"/>
      </w:r>
    </w:p>
    <w:p>
      <w:r>
        <w:rPr>
          <w:b w:val="false"/>
          <w:bCs w:val="false"/>
        </w:rPr>
        <w:t xml:space="preserve">[PROVIDE:</w:t>
      </w:r>
    </w:p>
    <w:p>
      <w:pPr>
        <w:pStyle w:val="ListParagraph"/>
        <w:numPr>
          <w:ilvl w:val="0"/>
          <w:numId w:val="1"/>
        </w:numPr>
      </w:pPr>
      <w:r>
        <w:rPr>
          <w:b w:val="false"/>
          <w:bCs w:val="false"/>
        </w:rPr>
        <w:t xml:space="preserve">Role-based access control (RBAC) model</w:t>
      </w:r>
    </w:p>
    <w:p>
      <w:pPr>
        <w:pStyle w:val="ListParagraph"/>
        <w:numPr>
          <w:ilvl w:val="0"/>
          <w:numId w:val="1"/>
        </w:numPr>
      </w:pPr>
      <w:r>
        <w:rPr>
          <w:b w:val="false"/>
          <w:bCs w:val="false"/>
        </w:rPr>
        <w:t xml:space="preserve">Multi-factor authentication (MFA) support</w:t>
      </w:r>
    </w:p>
    <w:p>
      <w:pPr>
        <w:pStyle w:val="ListParagraph"/>
        <w:numPr>
          <w:ilvl w:val="0"/>
          <w:numId w:val="1"/>
        </w:numPr>
      </w:pPr>
      <w:r>
        <w:rPr>
          <w:b w:val="false"/>
          <w:bCs w:val="false"/>
        </w:rPr>
        <w:t xml:space="preserve">Audit logging and tamper-evident records</w:t>
      </w:r>
    </w:p>
    <w:p>
      <w:pPr>
        <w:pStyle w:val="ListParagraph"/>
        <w:numPr>
          <w:ilvl w:val="0"/>
          <w:numId w:val="1"/>
        </w:numPr>
      </w:pPr>
      <w:r>
        <w:rPr>
          <w:b w:val="false"/>
          <w:bCs w:val="false"/>
        </w:rPr>
        <w:t xml:space="preserve">Data encryption at rest and in transit (confirm standards)</w:t>
      </w:r>
    </w:p>
    <w:p>
      <w:pPr>
        <w:pStyle w:val="ListParagraph"/>
        <w:numPr>
          <w:ilvl w:val="0"/>
          <w:numId w:val="1"/>
        </w:numPr>
      </w:pPr>
      <w:r>
        <w:rPr>
          <w:b w:val="false"/>
          <w:bCs w:val="false"/>
        </w:rPr>
        <w:t xml:space="preserve">Penetration testing and vulnerability management practices</w:t>
      </w:r>
    </w:p>
    <w:p>
      <w:pPr>
        <w:pStyle w:val="ListParagraph"/>
        <w:numPr>
          <w:ilvl w:val="0"/>
          <w:numId w:val="1"/>
        </w:numPr>
      </w:pPr>
      <w:r>
        <w:rPr>
          <w:b w:val="false"/>
          <w:bCs w:val="false"/>
        </w:rPr>
        <w:t xml:space="preserve">Compliance with City of Saskatoon IT security standards [CONFIRM: City's applicable security framework]</w:t>
      </w:r>
    </w:p>
    <w:p>
      <w:pPr>
        <w:pStyle w:val="ListParagraph"/>
        <w:numPr>
          <w:ilvl w:val="0"/>
          <w:numId w:val="1"/>
        </w:numPr>
      </w:pPr>
      <w:r>
        <w:rPr>
          <w:b w:val="false"/>
          <w:bCs w:val="false"/>
        </w:rPr>
        <w:t xml:space="preserve">Indicate availability: OOTB / Config / Custom / 3PI / Future / N/A]</w:t>
      </w:r>
    </w:p>
    <w:p>
      <w:r>
        <w:t xml:space="preserve"/>
      </w:r>
    </w:p>
    <w:p>
      <w:r>
        <w:rPr>
          <w:b w:val="false"/>
          <w:bCs w:val="false"/>
        </w:rPr>
        <w:t xml:space="preserve">---</w:t>
      </w:r>
    </w:p>
    <w:p>
      <w:r>
        <w:t xml:space="preserve"/>
      </w:r>
    </w:p>
    <w:p>
      <w:pPr>
        <w:pStyle w:val="Heading2"/>
      </w:pPr>
      <w:r>
        <w:rPr>
          <w:b w:val="false"/>
          <w:bCs w:val="false"/>
        </w:rPr>
        <w:t xml:space="preserve">4.11 Implementation Approach &amp; Timeline</w:t>
      </w:r>
    </w:p>
    <w:p>
      <w:r>
        <w:t xml:space="preserve"/>
      </w:r>
    </w:p>
    <w:p>
      <w:r>
        <w:rPr>
          <w:b w:val="false"/>
          <w:bCs w:val="false"/>
        </w:rPr>
        <w:t xml:space="preserve">[PROVIDE:</w:t>
      </w:r>
    </w:p>
    <w:p>
      <w:pPr>
        <w:pStyle w:val="ListParagraph"/>
        <w:numPr>
          <w:ilvl w:val="0"/>
          <w:numId w:val="1"/>
        </w:numPr>
      </w:pPr>
      <w:r>
        <w:rPr>
          <w:b w:val="false"/>
          <w:bCs w:val="false"/>
        </w:rPr>
        <w:t xml:space="preserve">Proposed implementation methodology (Agile, waterfall, hybrid)</w:t>
      </w:r>
    </w:p>
    <w:p>
      <w:pPr>
        <w:pStyle w:val="ListParagraph"/>
        <w:numPr>
          <w:ilvl w:val="0"/>
          <w:numId w:val="1"/>
        </w:numPr>
      </w:pPr>
      <w:r>
        <w:rPr>
          <w:b w:val="false"/>
          <w:bCs w:val="false"/>
        </w:rPr>
        <w:t xml:space="preserve">High-level implementation phases and indicative timeline</w:t>
      </w:r>
    </w:p>
    <w:p>
      <w:pPr>
        <w:pStyle w:val="ListParagraph"/>
        <w:numPr>
          <w:ilvl w:val="0"/>
          <w:numId w:val="1"/>
        </w:numPr>
      </w:pPr>
      <w:r>
        <w:rPr>
          <w:b w:val="false"/>
          <w:bCs w:val="false"/>
        </w:rPr>
        <w:t xml:space="preserve">Data migration approach (from existing City systems — [CONFIRM: current system(s) in use])</w:t>
      </w:r>
    </w:p>
    <w:p>
      <w:pPr>
        <w:pStyle w:val="ListParagraph"/>
        <w:numPr>
          <w:ilvl w:val="0"/>
          <w:numId w:val="1"/>
        </w:numPr>
      </w:pPr>
      <w:r>
        <w:rPr>
          <w:b w:val="false"/>
          <w:bCs w:val="false"/>
        </w:rPr>
        <w:t xml:space="preserve">Training plan for City staff</w:t>
      </w:r>
    </w:p>
    <w:p>
      <w:pPr>
        <w:pStyle w:val="ListParagraph"/>
        <w:numPr>
          <w:ilvl w:val="0"/>
          <w:numId w:val="1"/>
        </w:numPr>
      </w:pPr>
      <w:r>
        <w:rPr>
          <w:b w:val="false"/>
          <w:bCs w:val="false"/>
        </w:rPr>
        <w:t xml:space="preserve">Change management support</w:t>
      </w:r>
    </w:p>
    <w:p>
      <w:pPr>
        <w:pStyle w:val="ListParagraph"/>
        <w:numPr>
          <w:ilvl w:val="0"/>
          <w:numId w:val="1"/>
        </w:numPr>
      </w:pPr>
      <w:r>
        <w:rPr>
          <w:b w:val="false"/>
          <w:bCs w:val="false"/>
        </w:rPr>
        <w:t xml:space="preserve">Go-live and post-go-live support model]</w:t>
      </w:r>
    </w:p>
    <w:p>
      <w:r>
        <w:t xml:space="preserve"/>
      </w:r>
    </w:p>
    <w:p>
      <w:r>
        <w:rPr>
          <w:b w:val="false"/>
          <w:bCs w:val="false"/>
        </w:rPr>
        <w:t xml:space="preserve">Our delivery methodology is Agile / SAFe-aligned, led by a SAFe Program Consultant (SPC 6), Certified Scrum Master, and PRINCE2 Practitioner with 17+ years of enterprise delivery. Work is broken into short increments with a working demonstration each cycle, a clear Definition of Done, quality gates, and transparent flow metrics, providing the City with honest visibility into progress and risks throughout.</w:t>
      </w:r>
    </w:p>
    <w:p>
      <w:r>
        <w:t xml:space="preserve"/>
      </w:r>
    </w:p>
    <w:p>
      <w:r>
        <w:rPr>
          <w:b w:val="false"/>
          <w:bCs w:val="false"/>
        </w:rPr>
        <w:t xml:space="preserve">---</w:t>
      </w:r>
    </w:p>
    <w:p>
      <w:r>
        <w:t xml:space="preserve"/>
      </w:r>
    </w:p>
    <w:p>
      <w:pPr>
        <w:pStyle w:val="Heading2"/>
      </w:pPr>
      <w:r>
        <w:rPr>
          <w:b w:val="false"/>
          <w:bCs w:val="false"/>
        </w:rPr>
        <w:t xml:space="preserve">4.12 Support &amp; Maintenance</w:t>
      </w:r>
    </w:p>
    <w:p>
      <w:r>
        <w:t xml:space="preserve"/>
      </w:r>
    </w:p>
    <w:p>
      <w:r>
        <w:rPr>
          <w:b w:val="false"/>
          <w:bCs w:val="false"/>
        </w:rPr>
        <w:t xml:space="preserve">[PROVIDE:</w:t>
      </w:r>
    </w:p>
    <w:p>
      <w:pPr>
        <w:pStyle w:val="ListParagraph"/>
        <w:numPr>
          <w:ilvl w:val="0"/>
          <w:numId w:val="1"/>
        </w:numPr>
      </w:pPr>
      <w:r>
        <w:rPr>
          <w:b w:val="false"/>
          <w:bCs w:val="false"/>
        </w:rPr>
        <w:t xml:space="preserve">Post-implementation support model (help desk, SLAs, escalation paths)</w:t>
      </w:r>
    </w:p>
    <w:p>
      <w:pPr>
        <w:pStyle w:val="ListParagraph"/>
        <w:numPr>
          <w:ilvl w:val="0"/>
          <w:numId w:val="1"/>
        </w:numPr>
      </w:pPr>
      <w:r>
        <w:rPr>
          <w:b w:val="false"/>
          <w:bCs w:val="false"/>
        </w:rPr>
        <w:t xml:space="preserve">Software update and patch management process</w:t>
      </w:r>
    </w:p>
    <w:p>
      <w:pPr>
        <w:pStyle w:val="ListParagraph"/>
        <w:numPr>
          <w:ilvl w:val="0"/>
          <w:numId w:val="1"/>
        </w:numPr>
      </w:pPr>
      <w:r>
        <w:rPr>
          <w:b w:val="false"/>
          <w:bCs w:val="false"/>
        </w:rPr>
        <w:t xml:space="preserve">Disaster recovery and business continuity capabilities (RTO/RPO)</w:t>
      </w:r>
    </w:p>
    <w:p>
      <w:pPr>
        <w:pStyle w:val="ListParagraph"/>
        <w:numPr>
          <w:ilvl w:val="0"/>
          <w:numId w:val="1"/>
        </w:numPr>
      </w:pPr>
      <w:r>
        <w:rPr>
          <w:b w:val="false"/>
          <w:bCs w:val="false"/>
        </w:rPr>
        <w:t xml:space="preserve">Licensing model (perpetual, subscription, per-user, per-module)</w:t>
      </w:r>
    </w:p>
    <w:p>
      <w:pPr>
        <w:pStyle w:val="ListParagraph"/>
        <w:numPr>
          <w:ilvl w:val="0"/>
          <w:numId w:val="1"/>
        </w:numPr>
      </w:pPr>
      <w:r>
        <w:rPr>
          <w:b w:val="false"/>
          <w:bCs w:val="false"/>
        </w:rPr>
        <w:t xml:space="preserve">Vendor roadmap for the proposed solution]</w:t>
      </w:r>
    </w:p>
    <w:p>
      <w:r>
        <w:t xml:space="preserve"/>
      </w:r>
    </w:p>
    <w:p>
      <w:r>
        <w:rPr>
          <w:b w:val="false"/>
          <w:bCs w:val="false"/>
        </w:rPr>
        <w:t xml:space="preserve">---</w:t>
      </w:r>
    </w:p>
    <w:p>
      <w:r>
        <w:t xml:space="preserve"/>
      </w:r>
    </w:p>
    <w:p>
      <w:pPr>
        <w:pStyle w:val="Heading2"/>
      </w:pPr>
      <w:r>
        <w:rPr>
          <w:b w:val="false"/>
          <w:bCs w:val="false"/>
        </w:rPr>
        <w:t xml:space="preserve">4.13 Accessibility</w:t>
      </w:r>
    </w:p>
    <w:p>
      <w:r>
        <w:t xml:space="preserve"/>
      </w:r>
    </w:p>
    <w:p>
      <w:r>
        <w:rPr>
          <w:b w:val="false"/>
          <w:bCs w:val="false"/>
        </w:rPr>
        <w:t xml:space="preserve">All user-facing interfaces are designed and tested to meet WCAG 2.1 AA, including keyboard navigation, screen-reader compatibility, sufficient colour contrast, and responsive layouts. Accessibility is validated through automated tooling and manual testing as part of the Definition of Done.</w:t>
      </w:r>
    </w:p>
    <w:p>
      <w:r>
        <w:t xml:space="preserve"/>
      </w:r>
    </w:p>
    <w:p>
      <w:r>
        <w:rPr>
          <w:b w:val="false"/>
          <w:bCs w:val="false"/>
        </w:rPr>
        <w:t xml:space="preserve">[PROVIDE: confirm WCAG 2.1 AA compliance status for the proposed solution — OOTB / Config / Custom / N/A — and attach any accessibility conformance reports (VPAT or equivalent).]</w:t>
      </w:r>
    </w:p>
    <w:p>
      <w:r>
        <w:t xml:space="preserve"/>
      </w:r>
    </w:p>
    <w:p>
      <w:r>
        <w:rPr>
          <w:b w:val="false"/>
          <w:bCs w:val="false"/>
        </w:rPr>
        <w:t xml:space="preserve">---</w:t>
      </w:r>
    </w:p>
    <w:p>
      <w:r>
        <w:t xml:space="preserve"/>
      </w:r>
    </w:p>
    <w:p>
      <w:pPr>
        <w:pStyle w:val="Heading1"/>
      </w:pPr>
      <w:r>
        <w:rPr>
          <w:b w:val="false"/>
          <w:bCs w:val="false"/>
        </w:rPr>
        <w:t xml:space="preserve">5. Key Personnel</w:t>
      </w:r>
    </w:p>
    <w:p>
      <w:r>
        <w:t xml:space="preserve"/>
      </w:r>
    </w:p>
    <w:p>
      <w:pPr>
        <w:pStyle w:val="Heading2"/>
      </w:pPr>
      <w:r>
        <w:rPr>
          <w:b w:val="false"/>
          <w:bCs w:val="false"/>
        </w:rPr>
        <w:t xml:space="preserve">5.1 Mohammed Yousuf Shariff — Principal &amp; Delivery Lead</w:t>
      </w:r>
    </w:p>
    <w:p>
      <w:r>
        <w:t xml:space="preserve"/>
      </w:r>
    </w:p>
    <w:p>
      <w:r>
        <w:rPr>
          <w:b w:val="false"/>
          <w:bCs w:val="false"/>
        </w:rPr>
        <w:t xml:space="preserve">Mohammed Yousuf Shariff serves as Principal and Delivery Lead for NimbleStride Inc. and MGR Infotech. He brings 17+ years of experience spanning software development, IT operations, and enterprise program delivery.</w:t>
      </w:r>
    </w:p>
    <w:p>
      <w:r>
        <w:t xml:space="preserve"/>
      </w:r>
    </w:p>
    <w:p>
      <w:r>
        <w:rPr>
          <w:b/>
          <w:bCs/>
        </w:rPr>
        <w:t xml:space="preserve">Technical expertise:</w:t>
      </w:r>
    </w:p>
    <w:p>
      <w:pPr>
        <w:pStyle w:val="ListParagraph"/>
        <w:numPr>
          <w:ilvl w:val="0"/>
          <w:numId w:val="1"/>
        </w:numPr>
      </w:pPr>
      <w:r>
        <w:rPr>
          <w:b w:val="false"/>
          <w:bCs w:val="false"/>
        </w:rPr>
        <w:t xml:space="preserve">Hands-on design and development of production AI and software platforms: ClearBid (public-sector compliance AI), ClearBind (AI InsurTech), OSFI E-23 model-risk-management platform for Canadian financial institutions, and GridWitness (energy/carbon)</w:t>
      </w:r>
    </w:p>
    <w:p>
      <w:pPr>
        <w:pStyle w:val="ListParagraph"/>
        <w:numPr>
          <w:ilvl w:val="0"/>
          <w:numId w:val="1"/>
        </w:numPr>
      </w:pPr>
      <w:r>
        <w:rPr>
          <w:b w:val="false"/>
          <w:bCs w:val="false"/>
        </w:rPr>
        <w:t xml:space="preserve">Technology stack: TypeScript, Python, Next.js/React, Node.js, Terraform, AI/LLM integration</w:t>
      </w:r>
    </w:p>
    <w:p>
      <w:pPr>
        <w:pStyle w:val="ListParagraph"/>
        <w:numPr>
          <w:ilvl w:val="0"/>
          <w:numId w:val="1"/>
        </w:numPr>
      </w:pPr>
      <w:r>
        <w:rPr>
          <w:b w:val="false"/>
          <w:bCs w:val="false"/>
        </w:rPr>
        <w:t xml:space="preserve">All platforms deployed on Canadian-region cloud infrastructure</w:t>
      </w:r>
    </w:p>
    <w:p>
      <w:r>
        <w:t xml:space="preserve"/>
      </w:r>
    </w:p>
    <w:p>
      <w:r>
        <w:rPr>
          <w:b/>
          <w:bCs/>
        </w:rPr>
        <w:t xml:space="preserve">Delivery leadership:</w:t>
      </w:r>
    </w:p>
    <w:p>
      <w:pPr>
        <w:pStyle w:val="ListParagraph"/>
        <w:numPr>
          <w:ilvl w:val="0"/>
          <w:numId w:val="1"/>
        </w:numPr>
      </w:pPr>
      <w:r>
        <w:rPr>
          <w:b w:val="false"/>
          <w:bCs w:val="false"/>
        </w:rPr>
        <w:t xml:space="preserve">9+ years of scaled Agile delivery leadership as Release Train Engineer and Scrum Master</w:t>
      </w:r>
    </w:p>
    <w:p>
      <w:pPr>
        <w:pStyle w:val="ListParagraph"/>
        <w:numPr>
          <w:ilvl w:val="0"/>
          <w:numId w:val="1"/>
        </w:numPr>
      </w:pPr>
      <w:r>
        <w:rPr>
          <w:b w:val="false"/>
          <w:bCs w:val="false"/>
        </w:rPr>
        <w:t xml:space="preserve">Certifications: SAFe SPC 6, CSM, PRINCE2, ITIL</w:t>
      </w:r>
    </w:p>
    <w:p>
      <w:pPr>
        <w:pStyle w:val="ListParagraph"/>
        <w:numPr>
          <w:ilvl w:val="0"/>
          <w:numId w:val="1"/>
        </w:numPr>
      </w:pPr>
      <w:r>
        <w:rPr>
          <w:b w:val="false"/>
          <w:bCs w:val="false"/>
        </w:rPr>
        <w:t xml:space="preserve">Enterprise delivery at: Northbridge Insurance, Intact Insurance, CIBC, Servus Credit Union, AT&amp;T</w:t>
      </w:r>
    </w:p>
    <w:p>
      <w:pPr>
        <w:pStyle w:val="ListParagraph"/>
        <w:numPr>
          <w:ilvl w:val="0"/>
          <w:numId w:val="1"/>
        </w:numPr>
      </w:pPr>
      <w:r>
        <w:rPr>
          <w:b w:val="false"/>
          <w:bCs w:val="false"/>
        </w:rPr>
        <w:t xml:space="preserve">Earlier experience: presales and solutioning for SapphireIMS (ITOM/ITSM data-centre management product)</w:t>
      </w:r>
    </w:p>
    <w:p>
      <w:r>
        <w:t xml:space="preserve"/>
      </w:r>
    </w:p>
    <w:p>
      <w:r>
        <w:rPr>
          <w:b/>
          <w:bCs/>
        </w:rPr>
        <w:t xml:space="preserve">Academic background:</w:t>
      </w:r>
      <w:r>
        <w:rPr>
          <w:b w:val="false"/>
          <w:bCs w:val="false"/>
        </w:rPr>
        <w:t xml:space="preserve"> B.Tech, Electrical &amp; Electronics Engineering</w:t>
      </w:r>
    </w:p>
    <w:p>
      <w:r>
        <w:t xml:space="preserve"/>
      </w:r>
    </w:p>
    <w:p>
      <w:r>
        <w:rPr>
          <w:b w:val="false"/>
          <w:bCs w:val="false"/>
        </w:rPr>
        <w:t xml:space="preserve">Mr. Shariff will be the named resource and primary point of accountability for this engagement.</w:t>
      </w:r>
    </w:p>
    <w:p>
      <w:r>
        <w:t xml:space="preserve"/>
      </w:r>
    </w:p>
    <w:p>
      <w:r>
        <w:rPr>
          <w:b w:val="false"/>
          <w:bCs w:val="false"/>
        </w:rPr>
        <w:t xml:space="preserve">[PROVIDE:</w:t>
      </w:r>
    </w:p>
    <w:p>
      <w:pPr>
        <w:pStyle w:val="ListParagraph"/>
        <w:numPr>
          <w:ilvl w:val="0"/>
          <w:numId w:val="1"/>
        </w:numPr>
      </w:pPr>
      <w:r>
        <w:rPr>
          <w:b w:val="false"/>
          <w:bCs w:val="false"/>
        </w:rPr>
        <w:t xml:space="preserve">Current résumé formatted to any template required by the City</w:t>
      </w:r>
    </w:p>
    <w:p>
      <w:pPr>
        <w:pStyle w:val="ListParagraph"/>
        <w:numPr>
          <w:ilvl w:val="0"/>
          <w:numId w:val="1"/>
        </w:numPr>
      </w:pPr>
      <w:r>
        <w:rPr>
          <w:b w:val="false"/>
          <w:bCs w:val="false"/>
        </w:rPr>
        <w:t xml:space="preserve">Confirmed availability percentage for the engagement period</w:t>
      </w:r>
    </w:p>
    <w:p>
      <w:pPr>
        <w:pStyle w:val="ListParagraph"/>
        <w:numPr>
          <w:ilvl w:val="0"/>
          <w:numId w:val="1"/>
        </w:numPr>
      </w:pPr>
      <w:r>
        <w:rPr>
          <w:b w:val="false"/>
          <w:bCs w:val="false"/>
        </w:rPr>
        <w:t xml:space="preserve">Confirmation of any land/lease management software-specific experience, if applicable]</w:t>
      </w:r>
    </w:p>
    <w:p>
      <w:r>
        <w:t xml:space="preserve"/>
      </w:r>
    </w:p>
    <w:p>
      <w:r>
        <w:rPr>
          <w:b w:val="false"/>
          <w:bCs w:val="false"/>
        </w:rPr>
        <w:t xml:space="preserve">---</w:t>
      </w:r>
    </w:p>
    <w:p>
      <w:r>
        <w:t xml:space="preserve"/>
      </w:r>
    </w:p>
    <w:p>
      <w:pPr>
        <w:pStyle w:val="Heading2"/>
      </w:pPr>
      <w:r>
        <w:rPr>
          <w:b w:val="false"/>
          <w:bCs w:val="false"/>
        </w:rPr>
        <w:t xml:space="preserve">5.2 Additional Personnel</w:t>
      </w:r>
    </w:p>
    <w:p>
      <w:r>
        <w:t xml:space="preserve"/>
      </w:r>
    </w:p>
    <w:p>
      <w:r>
        <w:rPr>
          <w:b w:val="false"/>
          <w:bCs w:val="false"/>
        </w:rPr>
        <w:t xml:space="preserve">NimbleStride Inc. operates a principal-led delivery model. Specialist capacity is scaled by engaging vetted part-time associate consultants whose skills are matched to each project's specific requirements. All associates operate under confidentiality and data-handling agreements consistent with public-sector requirements.</w:t>
      </w:r>
    </w:p>
    <w:p>
      <w:r>
        <w:t xml:space="preserve"/>
      </w:r>
    </w:p>
    <w:p>
      <w:r>
        <w:rPr>
          <w:b w:val="false"/>
          <w:bCs w:val="false"/>
        </w:rPr>
        <w:t xml:space="preserve">[PROVIDE:</w:t>
      </w:r>
    </w:p>
    <w:p>
      <w:pPr>
        <w:pStyle w:val="ListParagraph"/>
        <w:numPr>
          <w:ilvl w:val="0"/>
          <w:numId w:val="1"/>
        </w:numPr>
      </w:pPr>
      <w:r>
        <w:rPr>
          <w:b w:val="false"/>
          <w:bCs w:val="false"/>
        </w:rPr>
        <w:t xml:space="preserve">Names, roles, relevant experience summaries, and confirmed availability of any associates or subcontractors to be named in this response</w:t>
      </w:r>
    </w:p>
    <w:p>
      <w:pPr>
        <w:pStyle w:val="ListParagraph"/>
        <w:numPr>
          <w:ilvl w:val="0"/>
          <w:numId w:val="1"/>
        </w:numPr>
      </w:pPr>
      <w:r>
        <w:rPr>
          <w:b w:val="false"/>
          <w:bCs w:val="false"/>
        </w:rPr>
        <w:t xml:space="preserve">Résumés or capability statements for each named associate</w:t>
      </w:r>
    </w:p>
    <w:p>
      <w:pPr>
        <w:pStyle w:val="ListParagraph"/>
        <w:numPr>
          <w:ilvl w:val="0"/>
          <w:numId w:val="1"/>
        </w:numPr>
      </w:pPr>
      <w:r>
        <w:rPr>
          <w:b w:val="false"/>
          <w:bCs w:val="false"/>
        </w:rPr>
        <w:t xml:space="preserve">Specific land and lease management software implementation experience for any proposed team members</w:t>
      </w:r>
    </w:p>
    <w:p>
      <w:pPr>
        <w:pStyle w:val="ListParagraph"/>
        <w:numPr>
          <w:ilvl w:val="0"/>
          <w:numId w:val="1"/>
        </w:numPr>
      </w:pPr>
      <w:r>
        <w:rPr>
          <w:b w:val="false"/>
          <w:bCs w:val="false"/>
        </w:rPr>
        <w:t xml:space="preserve">If a third-party platform is proposed, identify the platform vendor's implementation resources and their qualifications]</w:t>
      </w:r>
    </w:p>
    <w:p>
      <w:r>
        <w:t xml:space="preserve"/>
      </w:r>
    </w:p>
    <w:p>
      <w:r>
        <w:rPr>
          <w:b w:val="false"/>
          <w:bCs w:val="false"/>
        </w:rPr>
        <w:t xml:space="preserve">---</w:t>
      </w:r>
    </w:p>
    <w:p>
      <w:r>
        <w:t xml:space="preserve"/>
      </w:r>
    </w:p>
    <w:p>
      <w:pPr>
        <w:pStyle w:val="Heading1"/>
      </w:pPr>
      <w:r>
        <w:rPr>
          <w:b w:val="false"/>
          <w:bCs w:val="false"/>
        </w:rPr>
        <w:t xml:space="preserve">6. Relevant Experience &amp; References</w:t>
      </w:r>
    </w:p>
    <w:p>
      <w:r>
        <w:t xml:space="preserve"/>
      </w:r>
    </w:p>
    <w:p>
      <w:pPr>
        <w:pStyle w:val="Heading2"/>
      </w:pPr>
      <w:r>
        <w:rPr>
          <w:b w:val="false"/>
          <w:bCs w:val="false"/>
        </w:rPr>
        <w:t xml:space="preserve">6.1 Similar Implementations — Last Five (5) Years</w:t>
      </w:r>
    </w:p>
    <w:p>
      <w:r>
        <w:t xml:space="preserve"/>
      </w:r>
    </w:p>
    <w:p>
      <w:r>
        <w:rPr>
          <w:b/>
          <w:bCs/>
        </w:rPr>
        <w:t xml:space="preserve">Requirement (p. 4):</w:t>
      </w:r>
      <w:r>
        <w:rPr>
          <w:b w:val="false"/>
          <w:bCs w:val="false"/>
        </w:rPr>
        <w:t xml:space="preserve"> Provide similar implementations completed within the last five (5) years, including a brief description of the organization, scope, and outcomes achieved.</w:t>
      </w:r>
    </w:p>
    <w:p>
      <w:r>
        <w:t xml:space="preserve"/>
      </w:r>
    </w:p>
    <w:p>
      <w:r>
        <w:rPr>
          <w:b w:val="false"/>
          <w:bCs w:val="false"/>
        </w:rPr>
        <w:t xml:space="preserve">&gt; </w:t>
      </w:r>
      <w:r>
        <w:rPr>
          <w:b/>
          <w:bCs/>
        </w:rPr>
        <w:t xml:space="preserve">⚠️ CRITICAL GAP:</w:t>
      </w:r>
      <w:r>
        <w:rPr>
          <w:b w:val="false"/>
          <w:bCs w:val="false"/>
        </w:rPr>
        <w:t xml:space="preserve"> The company dossier does not identify any completed land and lease management software implementation within the last five years. The projects documented (ClearBid, ClearBind, OSFI E-23 platform, GridWitness, IT infrastructure deployments) are not land/lease management implementations. This is a material gap relative to the RFI's experience requirements.</w:t>
      </w:r>
    </w:p>
    <w:p>
      <w:r>
        <w:t xml:space="preserve"/>
      </w:r>
    </w:p>
    <w:p>
      <w:r>
        <w:rPr>
          <w:b w:val="false"/>
          <w:bCs w:val="false"/>
        </w:rPr>
        <w:t xml:space="preserve">[PROVIDE:</w:t>
      </w:r>
    </w:p>
    <w:p>
      <w:pPr>
        <w:pStyle w:val="ListParagraph"/>
        <w:numPr>
          <w:ilvl w:val="0"/>
          <w:numId w:val="1"/>
        </w:numPr>
      </w:pPr>
      <w:r>
        <w:rPr>
          <w:b w:val="false"/>
          <w:bCs w:val="false"/>
        </w:rPr>
        <w:t xml:space="preserve">Up to three (3) examples of similar land and lease management software implementations completed within the last five (5) years</w:t>
      </w:r>
    </w:p>
    <w:p>
      <w:pPr>
        <w:pStyle w:val="ListParagraph"/>
        <w:numPr>
          <w:ilvl w:val="0"/>
          <w:numId w:val="1"/>
        </w:numPr>
      </w:pPr>
      <w:r>
        <w:rPr>
          <w:b w:val="false"/>
          <w:bCs w:val="false"/>
        </w:rPr>
        <w:t xml:space="preserve">For each: client/organization name, description of scope, outcomes achieved, approximate contract value, and dates</w:t>
      </w:r>
    </w:p>
    <w:p>
      <w:pPr>
        <w:pStyle w:val="ListParagraph"/>
        <w:numPr>
          <w:ilvl w:val="0"/>
          <w:numId w:val="1"/>
        </w:numPr>
      </w:pPr>
      <w:r>
        <w:rPr>
          <w:b w:val="false"/>
          <w:bCs w:val="false"/>
        </w:rPr>
        <w:t xml:space="preserve">If no direct land/lease management implementations exist, provide the closest analogous examples (e.g., asset management, property management, or complex data management platform implementations) and clearly describe the relevance</w:t>
      </w:r>
    </w:p>
    <w:p>
      <w:pPr>
        <w:pStyle w:val="ListParagraph"/>
        <w:numPr>
          <w:ilvl w:val="0"/>
          <w:numId w:val="1"/>
        </w:numPr>
      </w:pPr>
      <w:r>
        <w:rPr>
          <w:b w:val="false"/>
          <w:bCs w:val="false"/>
        </w:rPr>
        <w:t xml:space="preserve">If proposing a third-party platform, the platform vendor's reference implementations may be cited — confirm this is permissible under the RFI rules]</w:t>
      </w:r>
    </w:p>
    <w:p>
      <w:r>
        <w:t xml:space="preserve"/>
      </w:r>
    </w:p>
    <w:p>
      <w:r>
        <w:rPr>
          <w:b w:val="false"/>
          <w:bCs w:val="false"/>
        </w:rPr>
        <w:t xml:space="preserve">---</w:t>
      </w:r>
    </w:p>
    <w:p>
      <w:r>
        <w:t xml:space="preserve"/>
      </w:r>
    </w:p>
    <w:p>
      <w:pPr>
        <w:pStyle w:val="Heading2"/>
      </w:pPr>
      <w:r>
        <w:rPr>
          <w:b w:val="false"/>
          <w:bCs w:val="false"/>
        </w:rPr>
        <w:t xml:space="preserve">6.2 Client References</w:t>
      </w:r>
    </w:p>
    <w:p>
      <w:r>
        <w:t xml:space="preserve"/>
      </w:r>
    </w:p>
    <w:p>
      <w:r>
        <w:rPr>
          <w:b/>
          <w:bCs/>
        </w:rPr>
        <w:t xml:space="preserve">Requirement (p. 5):</w:t>
      </w:r>
      <w:r>
        <w:rPr>
          <w:b w:val="false"/>
          <w:bCs w:val="false"/>
        </w:rPr>
        <w:t xml:space="preserve"> Provide up to three (3) references from municipal, public-sector, or comparable private-sector organizations that have implemented the proposed solution within the last five (5) years.</w:t>
      </w:r>
    </w:p>
    <w:p>
      <w:r>
        <w:t xml:space="preserve"/>
      </w:r>
    </w:p>
    <w:p>
      <w:r>
        <w:rPr>
          <w:b w:val="false"/>
          <w:bCs w:val="false"/>
        </w:rPr>
        <w:t xml:space="preserve">&gt; </w:t>
      </w:r>
      <w:r>
        <w:rPr>
          <w:b/>
          <w:bCs/>
        </w:rPr>
        <w:t xml:space="preserve">⚠️ CRITICAL GAP:</w:t>
      </w:r>
      <w:r>
        <w:rPr>
          <w:b w:val="false"/>
          <w:bCs w:val="false"/>
        </w:rPr>
        <w:t xml:space="preserve"> The references available in the dossier are key-personnel references for Mohammed Yousuf Shariff's enterprise IT delivery work (Intact Insurance, Northbridge Insurance). They are not references for land and lease management software implementations, and neither reference is from a municipal or public-sector organization. This may not satisfy the RFI's reference requirements as stated.</w:t>
      </w:r>
    </w:p>
    <w:p>
      <w:r>
        <w:t xml:space="preserve"/>
      </w:r>
    </w:p>
    <w:p>
      <w:r>
        <w:rPr>
          <w:b w:val="false"/>
          <w:bCs w:val="false"/>
        </w:rPr>
        <w:t xml:space="preserve">The following references are available and can attest to the delivery performance of principal Mohammed Yousuf Shariff on enterprise IT and software programs:</w:t>
      </w:r>
    </w:p>
    <w:p>
      <w:r>
        <w:t xml:space="preserve"/>
      </w:r>
    </w:p>
    <w:p>
      <w:r>
        <w:rPr>
          <w:b w:val="false"/>
          <w:bCs w:val="false"/>
        </w:rPr>
        <w:t xml:space="preserve">| # | Reference Name | Organization | Role | Contact | Engagement |</w:t>
      </w:r>
    </w:p>
    <w:p>
      <w:r>
        <w:rPr>
          <w:b w:val="false"/>
          <w:bCs w:val="false"/>
        </w:rPr>
        <w:t xml:space="preserve">|---|---|---|---|---|---|</w:t>
      </w:r>
    </w:p>
    <w:p>
      <w:r>
        <w:rPr>
          <w:b w:val="false"/>
          <w:bCs w:val="false"/>
        </w:rPr>
        <w:t xml:space="preserve">| 1 | Deb Dash | Intact Insurance | Director – IT Development | +1 416-788-4347 | Commercial-lines insurance application delivery |</w:t>
      </w:r>
    </w:p>
    <w:p>
      <w:r>
        <w:rPr>
          <w:b w:val="false"/>
          <w:bCs w:val="false"/>
        </w:rPr>
        <w:t xml:space="preserve">| 2 | Sid Venkat | Northbridge Insurance | IT Development Consultant | +1 416-799-3406 | Enterprise data-engineering / Snowflake data-lakehouse delivery |</w:t>
      </w:r>
    </w:p>
    <w:p>
      <w:r>
        <w:rPr>
          <w:b w:val="false"/>
          <w:bCs w:val="false"/>
        </w:rPr>
        <w:t xml:space="preserve">| 3 | [PROVIDE: third reference — name, organization, phone, email, and description of engagement] | | | | |</w:t>
      </w:r>
    </w:p>
    <w:p>
      <w:r>
        <w:t xml:space="preserve"/>
      </w:r>
    </w:p>
    <w:p>
      <w:r>
        <w:rPr>
          <w:b w:val="false"/>
          <w:bCs w:val="false"/>
        </w:rPr>
        <w:t xml:space="preserve">[PROVIDE:</w:t>
      </w:r>
    </w:p>
    <w:p>
      <w:pPr>
        <w:pStyle w:val="ListParagraph"/>
        <w:numPr>
          <w:ilvl w:val="0"/>
          <w:numId w:val="1"/>
        </w:numPr>
      </w:pPr>
      <w:r>
        <w:rPr>
          <w:b w:val="false"/>
          <w:bCs w:val="false"/>
        </w:rPr>
        <w:t xml:space="preserve">A third reference, ideally from a municipal, public-sector, or comparable organization</w:t>
      </w:r>
    </w:p>
    <w:p>
      <w:pPr>
        <w:pStyle w:val="ListParagraph"/>
        <w:numPr>
          <w:ilvl w:val="0"/>
          <w:numId w:val="1"/>
        </w:numPr>
      </w:pPr>
      <w:r>
        <w:rPr>
          <w:b w:val="false"/>
          <w:bCs w:val="false"/>
        </w:rPr>
        <w:t xml:space="preserve">If possible, references specifically for land/lease management or property management software implementations</w:t>
      </w:r>
    </w:p>
    <w:p>
      <w:pPr>
        <w:pStyle w:val="ListParagraph"/>
        <w:numPr>
          <w:ilvl w:val="0"/>
          <w:numId w:val="1"/>
        </w:numPr>
      </w:pPr>
      <w:r>
        <w:rPr>
          <w:b w:val="false"/>
          <w:bCs w:val="false"/>
        </w:rPr>
        <w:t xml:space="preserve">If proposing a third-party platform, the platform vendor's municipal/public-sector client references — confirm whether these may be included</w:t>
      </w:r>
    </w:p>
    <w:p>
      <w:pPr>
        <w:pStyle w:val="ListParagraph"/>
        <w:numPr>
          <w:ilvl w:val="0"/>
          <w:numId w:val="1"/>
        </w:numPr>
      </w:pPr>
      <w:r>
        <w:rPr>
          <w:b w:val="false"/>
          <w:bCs w:val="false"/>
        </w:rPr>
        <w:t xml:space="preserve">Confirm that all references have been notified and have consented to being contacted by the City of Saskatoon]</w:t>
      </w:r>
    </w:p>
    <w:p>
      <w:r>
        <w:t xml:space="preserve"/>
      </w:r>
    </w:p>
    <w:p>
      <w:r>
        <w:rPr>
          <w:b w:val="false"/>
          <w:bCs w:val="false"/>
        </w:rPr>
        <w:t xml:space="preserve">---</w:t>
      </w:r>
    </w:p>
    <w:p>
      <w:r>
        <w:t xml:space="preserve"/>
      </w:r>
    </w:p>
    <w:p>
      <w:pPr>
        <w:pStyle w:val="Heading1"/>
      </w:pPr>
      <w:r>
        <w:rPr>
          <w:b w:val="false"/>
          <w:bCs w:val="false"/>
        </w:rPr>
        <w:t xml:space="preserve">7. Pricing</w:t>
      </w:r>
    </w:p>
    <w:p>
      <w:r>
        <w:t xml:space="preserve"/>
      </w:r>
    </w:p>
    <w:p>
      <w:r>
        <w:rPr>
          <w:b/>
          <w:bCs/>
        </w:rPr>
        <w:t xml:space="preserve">Requirement:</w:t>
      </w:r>
      <w:r>
        <w:rPr>
          <w:b w:val="false"/>
          <w:bCs w:val="false"/>
        </w:rPr>
        <w:t xml:space="preserve"> The RFI document requests pricing information to assist the City in understanding market costs for enterprise land and lease management software.</w:t>
      </w:r>
    </w:p>
    <w:p>
      <w:r>
        <w:t xml:space="preserve"/>
      </w:r>
    </w:p>
    <w:p>
      <w:r>
        <w:rPr>
          <w:b w:val="false"/>
          <w:bCs w:val="false"/>
        </w:rPr>
        <w:t xml:space="preserve">&gt; </w:t>
      </w:r>
      <w:r>
        <w:rPr>
          <w:b/>
          <w:bCs/>
        </w:rPr>
        <w:t xml:space="preserve">Note:</w:t>
      </w:r>
      <w:r>
        <w:rPr>
          <w:b w:val="false"/>
          <w:bCs w:val="false"/>
        </w:rPr>
        <w:t xml:space="preserve"> This is an RFI (Request for Information), not an RFP or RFQ. Pricing provided at this stage is indicative and does not constitute a binding offer. Confirm the City's specific pricing format requirements in the RFI document.</w:t>
      </w:r>
    </w:p>
    <w:p>
      <w:r>
        <w:t xml:space="preserve"/>
      </w:r>
    </w:p>
    <w:p>
      <w:r>
        <w:rPr>
          <w:b w:val="false"/>
          <w:bCs w:val="false"/>
        </w:rPr>
        <w:t xml:space="preserve">[PROVIDE:</w:t>
      </w:r>
    </w:p>
    <w:p>
      <w:pPr>
        <w:pStyle w:val="ListParagraph"/>
        <w:numPr>
          <w:ilvl w:val="0"/>
          <w:numId w:val="1"/>
        </w:numPr>
      </w:pPr>
      <w:r>
        <w:rPr>
          <w:b w:val="false"/>
          <w:bCs w:val="false"/>
        </w:rPr>
        <w:t xml:space="preserve">Indicative pricing for the proposed solution, structured as requested in the RFI (e.g., licensing model, implementation costs, annual maintenance/support costs, training costs, optional modules)</w:t>
      </w:r>
    </w:p>
    <w:p>
      <w:pPr>
        <w:pStyle w:val="ListParagraph"/>
        <w:numPr>
          <w:ilvl w:val="0"/>
          <w:numId w:val="1"/>
        </w:numPr>
      </w:pPr>
      <w:r>
        <w:rPr>
          <w:b w:val="false"/>
          <w:bCs w:val="false"/>
        </w:rPr>
        <w:t xml:space="preserve">Pricing should be in Canadian dollars (CAD), inclusive of applicable taxes or with taxes identified separately</w:t>
      </w:r>
    </w:p>
    <w:p>
      <w:pPr>
        <w:pStyle w:val="ListParagraph"/>
        <w:numPr>
          <w:ilvl w:val="0"/>
          <w:numId w:val="1"/>
        </w:numPr>
      </w:pPr>
      <w:r>
        <w:rPr>
          <w:b w:val="false"/>
          <w:bCs w:val="false"/>
        </w:rPr>
        <w:t xml:space="preserve">If a third-party platform is proposed: software licensing fees (per user / per module / enterprise), implementation services fees, annual SaaS subscription or maintenance fees, and any additional costs (data migration, training, integrations)</w:t>
      </w:r>
    </w:p>
    <w:p>
      <w:pPr>
        <w:pStyle w:val="ListParagraph"/>
        <w:numPr>
          <w:ilvl w:val="0"/>
          <w:numId w:val="1"/>
        </w:numPr>
      </w:pPr>
      <w:r>
        <w:rPr>
          <w:b w:val="false"/>
          <w:bCs w:val="false"/>
        </w:rPr>
        <w:t xml:space="preserve">If a custom-built solution is proposed: indicative development cost range, annual support/maintenance cost, and hosting costs</w:t>
      </w:r>
    </w:p>
    <w:p>
      <w:pPr>
        <w:pStyle w:val="ListParagraph"/>
        <w:numPr>
          <w:ilvl w:val="0"/>
          <w:numId w:val="1"/>
        </w:numPr>
      </w:pPr>
      <w:r>
        <w:rPr>
          <w:b w:val="false"/>
          <w:bCs w:val="false"/>
        </w:rPr>
        <w:t xml:space="preserve">Confirm whether the pricing form/appendix in the RFI document must be completed — if so, attach the completed form]</w:t>
      </w:r>
    </w:p>
    <w:p>
      <w:r>
        <w:t xml:space="preserve"/>
      </w:r>
    </w:p>
    <w:p>
      <w:r>
        <w:rPr>
          <w:b w:val="false"/>
          <w:bCs w:val="false"/>
        </w:rPr>
        <w:t xml:space="preserve">---</w:t>
      </w:r>
    </w:p>
    <w:p>
      <w:r>
        <w:t xml:space="preserve"/>
      </w:r>
    </w:p>
    <w:p>
      <w:pPr>
        <w:pStyle w:val="Heading1"/>
      </w:pPr>
      <w:r>
        <w:rPr>
          <w:b w:val="false"/>
          <w:bCs w:val="false"/>
        </w:rPr>
        <w:t xml:space="preserve">8. Mandatory Declarations &amp; Required Forms/Appendices</w:t>
      </w:r>
    </w:p>
    <w:p>
      <w:r>
        <w:t xml:space="preserve"/>
      </w:r>
    </w:p>
    <w:p>
      <w:r>
        <w:rPr>
          <w:b w:val="false"/>
          <w:bCs w:val="false"/>
        </w:rPr>
        <w:t xml:space="preserve">The following forms and declarations must be completed, signed, and submitted as part of this RFI response. All submissions must be made through saskatoon.bidsandtenders.ca.</w:t>
      </w:r>
    </w:p>
    <w:p>
      <w:r>
        <w:t xml:space="preserve"/>
      </w:r>
    </w:p>
    <w:p>
      <w:r>
        <w:rPr>
          <w:b w:val="false"/>
          <w:bCs w:val="false"/>
        </w:rPr>
        <w:t xml:space="preserve">| # | Item | Status | Action Required |</w:t>
      </w:r>
    </w:p>
    <w:p>
      <w:r>
        <w:rPr>
          <w:b w:val="false"/>
          <w:bCs w:val="false"/>
        </w:rPr>
        <w:t xml:space="preserve">|---|---|---|---|</w:t>
      </w:r>
    </w:p>
    <w:p>
      <w:r>
        <w:rPr>
          <w:b w:val="false"/>
          <w:bCs w:val="false"/>
        </w:rPr>
        <w:t xml:space="preserve">| 1 | </w:t>
      </w:r>
      <w:r>
        <w:rPr>
          <w:b/>
          <w:bCs/>
        </w:rPr>
        <w:t xml:space="preserve">Appendix A — Respondent Submission Form</w:t>
      </w:r>
      <w:r>
        <w:rPr>
          <w:b w:val="false"/>
          <w:bCs w:val="false"/>
        </w:rPr>
        <w:t xml:space="preserve"> (completed and signed) | [PROVIDE: attach signed form] | Mohammed Yousuf Shariff to sign; attach as separate PDF upload |</w:t>
      </w:r>
    </w:p>
    <w:p>
      <w:r>
        <w:rPr>
          <w:b w:val="false"/>
          <w:bCs w:val="false"/>
        </w:rPr>
        <w:t xml:space="preserve">| 2 | </w:t>
      </w:r>
      <w:r>
        <w:rPr>
          <w:b/>
          <w:bCs/>
        </w:rPr>
        <w:t xml:space="preserve">Plan Taker Registration</w:t>
      </w:r>
      <w:r>
        <w:rPr>
          <w:b w:val="false"/>
          <w:bCs w:val="false"/>
        </w:rPr>
        <w:t xml:space="preserve"> on saskatoon.bidsandtenders.ca | [CONFIRM: registered?] | Verify registration before submission deadline |</w:t>
      </w:r>
    </w:p>
    <w:p>
      <w:r>
        <w:rPr>
          <w:b w:val="false"/>
          <w:bCs w:val="false"/>
        </w:rPr>
        <w:t xml:space="preserve">| 3 | </w:t>
      </w:r>
      <w:r>
        <w:rPr>
          <w:b/>
          <w:bCs/>
        </w:rPr>
        <w:t xml:space="preserve">Addenda Acknowledgement</w:t>
      </w:r>
      <w:r>
        <w:rPr>
          <w:b w:val="false"/>
          <w:bCs w:val="false"/>
        </w:rPr>
        <w:t xml:space="preserve"> (all addenda checked in Appendix A) | [PROVIDE: list addendum numbers] | Review all addenda published on the bidding system; check each box in Appendix A |</w:t>
      </w:r>
    </w:p>
    <w:p>
      <w:r>
        <w:rPr>
          <w:b w:val="false"/>
          <w:bCs w:val="false"/>
        </w:rPr>
        <w:t xml:space="preserve">| 4 | </w:t>
      </w:r>
      <w:r>
        <w:rPr>
          <w:b/>
          <w:bCs/>
        </w:rPr>
        <w:t xml:space="preserve">Conflict of Interest Declaration</w:t>
      </w:r>
      <w:r>
        <w:rPr>
          <w:b w:val="false"/>
          <w:bCs w:val="false"/>
        </w:rPr>
        <w:t xml:space="preserve"> (section 3.4 of RFI; included in Appendix A) | Included in Section 3.3 of this response | Confirm against RFI section 3.4 definition; sign in Appendix A |</w:t>
      </w:r>
    </w:p>
    <w:p>
      <w:r>
        <w:rPr>
          <w:b w:val="false"/>
          <w:bCs w:val="false"/>
        </w:rPr>
        <w:t xml:space="preserve">| 5 | </w:t>
      </w:r>
      <w:r>
        <w:rPr>
          <w:b/>
          <w:bCs/>
        </w:rPr>
        <w:t xml:space="preserve">Authority to Bind Declaration</w:t>
      </w:r>
      <w:r>
        <w:rPr>
          <w:b w:val="false"/>
          <w:bCs w:val="false"/>
        </w:rPr>
        <w:t xml:space="preserve"> | Mohammed Yousuf Shariff has authority to bind NimbleStride Inc. | Sign Appendix A |</w:t>
      </w:r>
    </w:p>
    <w:p>
      <w:r>
        <w:rPr>
          <w:b w:val="false"/>
          <w:bCs w:val="false"/>
        </w:rPr>
        <w:t xml:space="preserve">| 6 | </w:t>
      </w:r>
      <w:r>
        <w:rPr>
          <w:b/>
          <w:bCs/>
        </w:rPr>
        <w:t xml:space="preserve">Accuracy Declaration</w:t>
      </w:r>
      <w:r>
        <w:rPr>
          <w:b w:val="false"/>
          <w:bCs w:val="false"/>
        </w:rPr>
        <w:t xml:space="preserve"> | Acknowledged — information is complete and accurate to the best of our knowledge | Sign Appendix A |</w:t>
      </w:r>
    </w:p>
    <w:p>
      <w:r>
        <w:rPr>
          <w:b w:val="false"/>
          <w:bCs w:val="false"/>
        </w:rPr>
        <w:t xml:space="preserve">| 7 | </w:t>
      </w:r>
      <w:r>
        <w:rPr>
          <w:b/>
          <w:bCs/>
        </w:rPr>
        <w:t xml:space="preserve">Confidentiality Acknowledgement</w:t>
      </w:r>
      <w:r>
        <w:rPr>
          <w:b w:val="false"/>
          <w:bCs w:val="false"/>
        </w:rPr>
        <w:t xml:space="preserve"> | Acknowledged in Cover Letter and Section 3.1 | Sign Appendix A |</w:t>
      </w:r>
    </w:p>
    <w:p>
      <w:r>
        <w:rPr>
          <w:b w:val="false"/>
          <w:bCs w:val="false"/>
        </w:rPr>
        <w:t xml:space="preserve">| 8 | </w:t>
      </w:r>
      <w:r>
        <w:rPr>
          <w:b/>
          <w:bCs/>
        </w:rPr>
        <w:t xml:space="preserve">No Media Communication Acknowledgement</w:t>
      </w:r>
      <w:r>
        <w:rPr>
          <w:b w:val="false"/>
          <w:bCs w:val="false"/>
        </w:rPr>
        <w:t xml:space="preserve"> | Acknowledged in Section 3.1 | Sign Appendix A |</w:t>
      </w:r>
    </w:p>
    <w:p>
      <w:r>
        <w:rPr>
          <w:b w:val="false"/>
          <w:bCs w:val="false"/>
        </w:rPr>
        <w:t xml:space="preserve">| 9 | </w:t>
      </w:r>
      <w:r>
        <w:rPr>
          <w:b/>
          <w:bCs/>
        </w:rPr>
        <w:t xml:space="preserve">Certificate of Insurance</w:t>
      </w:r>
      <w:r>
        <w:rPr>
          <w:b w:val="false"/>
          <w:bCs w:val="false"/>
        </w:rPr>
        <w:t xml:space="preserve"> (CGL $2M per occurrence) | Available upon request | [PROVIDE: insurer name, policy number, certificate expiry date; attach certificate if required at RFI stage] |</w:t>
      </w:r>
    </w:p>
    <w:p>
      <w:r>
        <w:rPr>
          <w:b w:val="false"/>
          <w:bCs w:val="false"/>
        </w:rPr>
        <w:t xml:space="preserve">| 10 | </w:t>
      </w:r>
      <w:r>
        <w:rPr>
          <w:b/>
          <w:bCs/>
        </w:rPr>
        <w:t xml:space="preserve">Supporting Materials</w:t>
      </w:r>
      <w:r>
        <w:rPr>
          <w:b w:val="false"/>
          <w:bCs w:val="false"/>
        </w:rPr>
        <w:t xml:space="preserve"> (screenshots, workflow diagrams, sample reports, sample dashboards) | [PROVIDE: attach where available] | Gather from proposed solution vendor or internal materials |</w:t>
      </w:r>
    </w:p>
    <w:p>
      <w:r>
        <w:rPr>
          <w:b w:val="false"/>
          <w:bCs w:val="false"/>
        </w:rPr>
        <w:t xml:space="preserve">| 11 | </w:t>
      </w:r>
      <w:r>
        <w:rPr>
          <w:b/>
          <w:bCs/>
        </w:rPr>
        <w:t xml:space="preserve">Personnel Résumés</w:t>
      </w:r>
      <w:r>
        <w:rPr>
          <w:b w:val="false"/>
          <w:bCs w:val="false"/>
        </w:rPr>
        <w:t xml:space="preserve"> | [PROVIDE: attach résumé(s)] | Mohammed Yousuf Shariff résumé + any named associates |</w:t>
      </w:r>
    </w:p>
    <w:p>
      <w:r>
        <w:rPr>
          <w:b w:val="false"/>
          <w:bCs w:val="false"/>
        </w:rPr>
        <w:t xml:space="preserve">| 12 | </w:t>
      </w:r>
      <w:r>
        <w:rPr>
          <w:b/>
          <w:bCs/>
        </w:rPr>
        <w:t xml:space="preserve">CRA Business Number / Corporate Registry</w:t>
      </w:r>
      <w:r>
        <w:rPr>
          <w:b w:val="false"/>
          <w:bCs w:val="false"/>
        </w:rPr>
        <w:t xml:space="preserve"> | [PROVIDE] | Obtain and include in Appendix A or vendor registration |</w:t>
      </w:r>
    </w:p>
    <w:p>
      <w:r>
        <w:t xml:space="preserve"/>
      </w:r>
    </w:p>
    <w:p>
      <w:r>
        <w:rPr>
          <w:b w:val="false"/>
          <w:bCs w:val="false"/>
        </w:rPr>
        <w:t xml:space="preserve">---</w:t>
      </w:r>
    </w:p>
    <w:p>
      <w:r>
        <w:t xml:space="preserve"/>
      </w:r>
    </w:p>
    <w:p>
      <w:r>
        <w:rPr>
          <w:b w:val="false"/>
          <w:bCs w:val="false"/>
        </w:rPr>
        <w:t xml:space="preserve">&gt; </w:t>
      </w:r>
      <w:r>
        <w:rPr>
          <w:b/>
          <w:bCs/>
        </w:rPr>
        <w:t xml:space="preserve">Final Pre-Submission Checklist for NimbleStride:</w:t>
      </w:r>
    </w:p>
    <w:p>
      <w:r>
        <w:rPr>
          <w:b w:val="false"/>
          <w:bCs w:val="false"/>
        </w:rPr>
        <w:t xml:space="preserve">&gt;</w:t>
      </w:r>
    </w:p>
    <w:p>
      <w:r>
        <w:rPr>
          <w:b w:val="false"/>
          <w:bCs w:val="false"/>
        </w:rPr>
        <w:t xml:space="preserve">&gt; - [ ] Resolve the fundamental question: Is NimbleStride proposing a </w:t>
      </w:r>
      <w:r>
        <w:rPr>
          <w:b/>
          <w:bCs/>
        </w:rPr>
        <w:t xml:space="preserve">custom-built</w:t>
      </w:r>
      <w:r>
        <w:rPr>
          <w:b w:val="false"/>
          <w:bCs w:val="false"/>
        </w:rPr>
        <w:t xml:space="preserve"> land and lease management solution, or acting as a </w:t>
      </w:r>
      <w:r>
        <w:rPr>
          <w:b/>
          <w:bCs/>
        </w:rPr>
        <w:t xml:space="preserve">reseller/implementation partner</w:t>
      </w:r>
      <w:r>
        <w:rPr>
          <w:b w:val="false"/>
          <w:bCs w:val="false"/>
        </w:rPr>
        <w:t xml:space="preserve"> for a named COTS/SaaS platform? This determines the entire technical response.</w:t>
      </w:r>
    </w:p>
    <w:p>
      <w:r>
        <w:rPr>
          <w:b w:val="false"/>
          <w:bCs w:val="false"/>
        </w:rPr>
        <w:t xml:space="preserve">&gt; - [ ] Complete all [PROVIDE] and [CONFIRM] items throughout this document before submission.</w:t>
      </w:r>
    </w:p>
    <w:p>
      <w:r>
        <w:rPr>
          <w:b w:val="false"/>
          <w:bCs w:val="false"/>
        </w:rPr>
        <w:t xml:space="preserve">&gt; - [ ] Address the critical gap in land/lease management implementation experience (Section 6).</w:t>
      </w:r>
    </w:p>
    <w:p>
      <w:r>
        <w:rPr>
          <w:b w:val="false"/>
          <w:bCs w:val="false"/>
        </w:rPr>
        <w:t xml:space="preserve">&gt; - [ ] Obtain and attach signed Appendix A.</w:t>
      </w:r>
    </w:p>
    <w:p>
      <w:r>
        <w:rPr>
          <w:b w:val="false"/>
          <w:bCs w:val="false"/>
        </w:rPr>
        <w:t xml:space="preserve">&gt; - [ ] Verify plan taker registration on saskatoon.bidsandtenders.ca.</w:t>
      </w:r>
    </w:p>
    <w:p>
      <w:r>
        <w:rPr>
          <w:b w:val="false"/>
          <w:bCs w:val="false"/>
        </w:rPr>
        <w:t xml:space="preserve">&gt; - [ ] Review all addenda and acknowledge each in Appendix A.</w:t>
      </w:r>
    </w:p>
    <w:p>
      <w:r>
        <w:rPr>
          <w:b w:val="false"/>
          <w:bCs w:val="false"/>
        </w:rPr>
        <w:t xml:space="preserve">&gt; - [ ] Confirm E&amp;O and Cyber Liability insurance requirements — the dossier confirms these are </w:t>
      </w:r>
      <w:r>
        <w:rPr>
          <w:b/>
          <w:bCs/>
        </w:rPr>
        <w:t xml:space="preserve">not currently held</w:t>
      </w:r>
      <w:r>
        <w:rPr>
          <w:b w:val="false"/>
          <w:bCs w:val="false"/>
        </w:rPr>
        <w:t xml:space="preserve">; assess whether the RFI or any subsequent RFP will require them.</w:t>
      </w:r>
    </w:p>
    <w:p>
      <w:r>
        <w:rPr>
          <w:b w:val="false"/>
          <w:bCs w:val="false"/>
        </w:rPr>
        <w:t xml:space="preserve">&gt; - [ ] Verify all uploaded files open correctly before the August 21, 2026, 2:00:59 PM CST deadline.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2026-10-15T04:39:33.371Z</dcterms:created>
  <dcterms:modified xsi:type="dcterms:W3CDTF">2026-10-15T04:39:33.371Z</dcterms:modified>
</cp:coreProperties>
</file>

<file path=docProps/custom.xml><?xml version="1.0" encoding="utf-8"?>
<Properties xmlns="http://schemas.openxmlformats.org/officeDocument/2006/custom-properties" xmlns:vt="http://schemas.openxmlformats.org/officeDocument/2006/docPropsVTypes"/>
</file>