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rPr>
        <w:t xml:space="preserve">DRAFT PROPOSAL — RFP No. 2026-ASHC-009</w:t>
      </w:r>
    </w:p>
    <w:p>
      <w:pPr>
        <w:pStyle w:val="Heading2"/>
      </w:pPr>
      <w:r>
        <w:rPr>
          <w:b w:val="false"/>
          <w:bCs w:val="false"/>
        </w:rPr>
        <w:t xml:space="preserve">Senior Service &amp; UX Designer Consultant Services</w:t>
      </w:r>
    </w:p>
    <w:p>
      <w:pPr>
        <w:pStyle w:val="Heading3"/>
      </w:pPr>
      <w:r>
        <w:rPr>
          <w:b w:val="false"/>
          <w:bCs w:val="false"/>
        </w:rPr>
        <w:t xml:space="preserve">Prepared by NimbleStride Inc. (operating as MGR Infotech)</w:t>
      </w:r>
    </w:p>
    <w:p>
      <w:r>
        <w:t xml:space="preserve"/>
      </w:r>
    </w:p>
    <w:p>
      <w:r>
        <w:rPr>
          <w:b w:val="false"/>
          <w:bCs w:val="false"/>
        </w:rPr>
        <w:t xml:space="preserve">---</w:t>
      </w:r>
    </w:p>
    <w:p>
      <w:r>
        <w:t xml:space="preserve"/>
      </w:r>
    </w:p>
    <w:p>
      <w:r>
        <w:rPr>
          <w:b w:val="false"/>
          <w:bCs w:val="false"/>
        </w:rPr>
        <w:t xml:space="preserve">&gt; </w:t>
      </w:r>
      <w:r>
        <w:rPr>
          <w:b/>
          <w:bCs/>
        </w:rPr>
        <w:t xml:space="preserve">HUMAN REVIEW REQUIRED BEFORE SUBMISSION</w:t>
      </w:r>
    </w:p>
    <w:p>
      <w:r>
        <w:rPr>
          <w:b w:val="false"/>
          <w:bCs w:val="false"/>
        </w:rPr>
        <w:t xml:space="preserve">&gt; All `[PROVIDE: ...]` and `NimbleStride Inc. confirms that all data for this engagement will be hosted and processed exclusively on Canadian-region cloud infrastructure (AWS ca-central-1 or equivalent), encrypted at rest (AES-256) and in transit (TLS 1.2+), with role-based least-privilege access controls and full audit logging in place. We will comply with any additional Protected A/B security-control requirements specified in the Statement of Work or Security Requirements Checklist prior to contract execution.` markers must be resolved. Gaps flagged as </w:t>
      </w:r>
      <w:r>
        <w:rPr>
          <w:b/>
          <w:bCs/>
        </w:rPr>
        <w:t xml:space="preserve">⚠️ POTENTIAL DISQUALIFICATION RISK</w:t>
      </w:r>
      <w:r>
        <w:rPr>
          <w:b w:val="false"/>
          <w:bCs w:val="false"/>
        </w:rPr>
        <w:t xml:space="preserve"> require immediate attention — they relate to mandatory requirements that the dossier cannot currently support.</w:t>
      </w:r>
    </w:p>
    <w:p>
      <w:r>
        <w:t xml:space="preserve"/>
      </w:r>
    </w:p>
    <w:p>
      <w:r>
        <w:rPr>
          <w:b w:val="false"/>
          <w:bCs w:val="false"/>
        </w:rPr>
        <w:t xml:space="preserve">---</w:t>
      </w:r>
    </w:p>
    <w:p>
      <w:r>
        <w:t xml:space="preserve"/>
      </w:r>
    </w:p>
    <w:p>
      <w:pPr>
        <w:pStyle w:val="Heading1"/>
      </w:pPr>
      <w:r>
        <w:rPr>
          <w:b w:val="false"/>
          <w:bCs w:val="false"/>
        </w:rPr>
        <w:t xml:space="preserve">PACKAGE ONE — RFP QUALIFICATIONS SUBMISSION</w:t>
      </w:r>
    </w:p>
    <w:p>
      <w:r>
        <w:t xml:space="preserve"/>
      </w:r>
    </w:p>
    <w:p>
      <w:r>
        <w:rPr>
          <w:b w:val="false"/>
          <w:bCs w:val="false"/>
        </w:rPr>
        <w:t xml:space="preserve">---</w:t>
      </w:r>
    </w:p>
    <w:p>
      <w:r>
        <w:t xml:space="preserve"/>
      </w:r>
    </w:p>
    <w:p>
      <w:pPr>
        <w:pStyle w:val="Heading1"/>
      </w:pPr>
      <w:r>
        <w:rPr>
          <w:b w:val="false"/>
          <w:bCs w:val="false"/>
        </w:rPr>
        <w:t xml:space="preserve">Cover Letter</w:t>
      </w:r>
    </w:p>
    <w:p>
      <w:r>
        <w:t xml:space="preserve"/>
      </w:r>
    </w:p>
    <w:p>
      <w:r>
        <w:rPr>
          <w:b/>
          <w:bCs/>
        </w:rPr>
        <w:t xml:space="preserve">Date:</w:t>
      </w:r>
      <w:r>
        <w:rPr>
          <w:b w:val="false"/>
          <w:bCs w:val="false"/>
        </w:rPr>
        <w:t xml:space="preserve"> [PROVIDE: insert submission date — must be on or before September 14, 2026]</w:t>
      </w:r>
    </w:p>
    <w:p>
      <w:r>
        <w:t xml:space="preserve"/>
      </w:r>
    </w:p>
    <w:p>
      <w:r>
        <w:rPr>
          <w:b/>
          <w:bCs/>
        </w:rPr>
        <w:t xml:space="preserve">To:</w:t>
      </w:r>
    </w:p>
    <w:p>
      <w:r>
        <w:rPr>
          <w:b w:val="false"/>
          <w:bCs w:val="false"/>
        </w:rPr>
        <w:t xml:space="preserve">Alberta Social Housing Corporation (ASHC)</w:t>
      </w:r>
    </w:p>
    <w:p>
      <w:r>
        <w:rPr>
          <w:b w:val="false"/>
          <w:bCs w:val="false"/>
        </w:rPr>
        <w:t xml:space="preserve">Procurement</w:t>
      </w:r>
    </w:p>
    <w:p>
      <w:r>
        <w:rPr>
          <w:b w:val="false"/>
          <w:bCs w:val="false"/>
        </w:rPr>
        <w:t xml:space="preserve">Email: ASHCProcurement@gov.ab.ca</w:t>
      </w:r>
    </w:p>
    <w:p>
      <w:r>
        <w:t xml:space="preserve"/>
      </w:r>
    </w:p>
    <w:p>
      <w:r>
        <w:rPr>
          <w:b/>
          <w:bCs/>
        </w:rPr>
        <w:t xml:space="preserve">Re: RFP No. 2026-ASHC-009 — Senior Service &amp; UX Designer Consultant Services</w:t>
      </w:r>
    </w:p>
    <w:p>
      <w:r>
        <w:t xml:space="preserve"/>
      </w:r>
    </w:p>
    <w:p>
      <w:r>
        <w:rPr>
          <w:b w:val="false"/>
          <w:bCs w:val="false"/>
        </w:rPr>
        <w:t xml:space="preserve">---</w:t>
      </w:r>
    </w:p>
    <w:p>
      <w:r>
        <w:t xml:space="preserve"/>
      </w:r>
    </w:p>
    <w:p>
      <w:r>
        <w:rPr>
          <w:b w:val="false"/>
          <w:bCs w:val="false"/>
        </w:rPr>
        <w:t xml:space="preserve">Dear ASHC Procurement Team,</w:t>
      </w:r>
    </w:p>
    <w:p>
      <w:r>
        <w:t xml:space="preserve"/>
      </w:r>
    </w:p>
    <w:p>
      <w:r>
        <w:rPr>
          <w:b w:val="false"/>
          <w:bCs w:val="false"/>
        </w:rPr>
        <w:t xml:space="preserve">NimbleStride Inc. (operating as MGR Infotech) is pleased to submit this Proposal in response to RFP No. 2026-ASHC-009 for Senior Service &amp; UX Designer Consultant Services.</w:t>
      </w:r>
    </w:p>
    <w:p>
      <w:r>
        <w:t xml:space="preserve"/>
      </w:r>
    </w:p>
    <w:p>
      <w:r>
        <w:rPr>
          <w:b w:val="false"/>
          <w:bCs w:val="false"/>
        </w:rPr>
        <w:t xml:space="preserve">We propose one (1) resource for this engagement: </w:t>
      </w:r>
      <w:r>
        <w:rPr>
          <w:b/>
          <w:bCs/>
        </w:rPr>
        <w:t xml:space="preserve">Mohammed Yousuf Shariff</w:t>
      </w:r>
      <w:r>
        <w:rPr>
          <w:b w:val="false"/>
          <w:bCs w:val="false"/>
        </w:rPr>
        <w:t xml:space="preserve">, Principal and Delivery Lead of NimbleStride Inc., who will serve as the named consultant and project leader interfacing directly with ASHC's project manager throughout the engagement.</w:t>
      </w:r>
    </w:p>
    <w:p>
      <w:r>
        <w:t xml:space="preserve"/>
      </w:r>
    </w:p>
    <w:p>
      <w:r>
        <w:rPr>
          <w:b w:val="false"/>
          <w:bCs w:val="false"/>
        </w:rPr>
        <w:t xml:space="preserve">We confirm the following:</w:t>
      </w:r>
    </w:p>
    <w:p>
      <w:r>
        <w:t xml:space="preserve"/>
      </w:r>
    </w:p>
    <w:p>
      <w:pPr>
        <w:pStyle w:val="ListParagraph"/>
        <w:numPr>
          <w:ilvl w:val="0"/>
          <w:numId w:val="1"/>
        </w:numPr>
      </w:pPr>
      <w:r>
        <w:rPr>
          <w:b w:val="false"/>
          <w:bCs w:val="false"/>
        </w:rPr>
        <w:t xml:space="preserve">This Proposal is submitted on or before the RFP Closing Date and Time of </w:t>
      </w:r>
      <w:r>
        <w:rPr>
          <w:b/>
          <w:bCs/>
        </w:rPr>
        <w:t xml:space="preserve">September 14, 2026 at 2:00:00 p.m. Alberta time</w:t>
      </w:r>
      <w:r>
        <w:rPr>
          <w:b w:val="false"/>
          <w:bCs w:val="false"/>
        </w:rPr>
        <w:t xml:space="preserve">.</w:t>
      </w:r>
    </w:p>
    <w:p>
      <w:pPr>
        <w:pStyle w:val="ListParagraph"/>
        <w:numPr>
          <w:ilvl w:val="0"/>
          <w:numId w:val="1"/>
        </w:numPr>
      </w:pPr>
      <w:r>
        <w:rPr>
          <w:b w:val="false"/>
          <w:bCs w:val="false"/>
        </w:rPr>
        <w:t xml:space="preserve">This submission is directed to </w:t>
      </w:r>
      <w:r>
        <w:rPr>
          <w:b/>
          <w:bCs/>
        </w:rPr>
        <w:t xml:space="preserve">ASHCProcurement@gov.ab.ca</w:t>
      </w:r>
      <w:r>
        <w:rPr>
          <w:b w:val="false"/>
          <w:bCs w:val="false"/>
        </w:rPr>
        <w:t xml:space="preserve"> with RFP No. </w:t>
      </w:r>
      <w:r>
        <w:rPr>
          <w:b/>
          <w:bCs/>
        </w:rPr>
        <w:t xml:space="preserve">2026-ASHC-009</w:t>
      </w:r>
      <w:r>
        <w:rPr>
          <w:b w:val="false"/>
          <w:bCs w:val="false"/>
        </w:rPr>
        <w:t xml:space="preserve"> identified in the email subject line.</w:t>
      </w:r>
    </w:p>
    <w:p>
      <w:pPr>
        <w:pStyle w:val="ListParagraph"/>
        <w:numPr>
          <w:ilvl w:val="0"/>
          <w:numId w:val="1"/>
        </w:numPr>
      </w:pPr>
      <w:r>
        <w:rPr>
          <w:b w:val="false"/>
          <w:bCs w:val="false"/>
        </w:rPr>
        <w:t xml:space="preserve">We are submitting </w:t>
      </w:r>
      <w:r>
        <w:rPr>
          <w:b/>
          <w:bCs/>
        </w:rPr>
        <w:t xml:space="preserve">two (2) separate PDF documents</w:t>
      </w:r>
      <w:r>
        <w:rPr>
          <w:b w:val="false"/>
          <w:bCs w:val="false"/>
        </w:rPr>
        <w:t xml:space="preserve"> in one email: Package One (RFP Qualifications Submission, excluding fee information) and Package Two (RFP Fee Proposal Submission).</w:t>
      </w:r>
    </w:p>
    <w:p>
      <w:pPr>
        <w:pStyle w:val="ListParagraph"/>
        <w:numPr>
          <w:ilvl w:val="0"/>
          <w:numId w:val="1"/>
        </w:numPr>
      </w:pPr>
      <w:r>
        <w:rPr>
          <w:b w:val="false"/>
          <w:bCs w:val="false"/>
        </w:rPr>
        <w:t xml:space="preserve">Both packages are searchable, unprotected PDF documents, each not exceeding 10 MB.</w:t>
      </w:r>
    </w:p>
    <w:p>
      <w:pPr>
        <w:pStyle w:val="ListParagraph"/>
        <w:numPr>
          <w:ilvl w:val="0"/>
          <w:numId w:val="1"/>
        </w:numPr>
      </w:pPr>
      <w:r>
        <w:rPr>
          <w:b w:val="false"/>
          <w:bCs w:val="false"/>
        </w:rPr>
        <w:t xml:space="preserve">Package One does not contain any fee-related information.</w:t>
      </w:r>
    </w:p>
    <w:p>
      <w:pPr>
        <w:pStyle w:val="ListParagraph"/>
        <w:numPr>
          <w:ilvl w:val="0"/>
          <w:numId w:val="1"/>
        </w:numPr>
      </w:pPr>
      <w:r>
        <w:rPr>
          <w:b w:val="false"/>
          <w:bCs w:val="false"/>
        </w:rPr>
        <w:t xml:space="preserve">All information is submitted in English.</w:t>
      </w:r>
    </w:p>
    <w:p>
      <w:pPr>
        <w:pStyle w:val="ListParagraph"/>
        <w:numPr>
          <w:ilvl w:val="0"/>
          <w:numId w:val="1"/>
        </w:numPr>
      </w:pPr>
      <w:r>
        <w:rPr>
          <w:b w:val="false"/>
          <w:bCs w:val="false"/>
        </w:rPr>
        <w:t xml:space="preserve">We have not submitted more than one Proposal in response to this RFP.</w:t>
      </w:r>
    </w:p>
    <w:p>
      <w:pPr>
        <w:pStyle w:val="ListParagraph"/>
        <w:numPr>
          <w:ilvl w:val="0"/>
          <w:numId w:val="1"/>
        </w:numPr>
      </w:pPr>
      <w:r>
        <w:rPr>
          <w:b w:val="false"/>
          <w:bCs w:val="false"/>
        </w:rPr>
        <w:t xml:space="preserve">We confirm receipt and consideration of all addenda issued for this RFP: [PROVIDE: list addendum numbers and dates, or state "No addenda were issued as of the submission date" if confirmed via Alberta Purchasing Connection].</w:t>
      </w:r>
    </w:p>
    <w:p>
      <w:pPr>
        <w:pStyle w:val="ListParagraph"/>
        <w:numPr>
          <w:ilvl w:val="0"/>
          <w:numId w:val="1"/>
        </w:numPr>
      </w:pPr>
      <w:r>
        <w:rPr>
          <w:b w:val="false"/>
          <w:bCs w:val="false"/>
        </w:rPr>
        <w:t xml:space="preserve">The proposed resource resides in Canada and all work will be performed within Canada.</w:t>
      </w:r>
    </w:p>
    <w:p>
      <w:pPr>
        <w:pStyle w:val="ListParagraph"/>
        <w:numPr>
          <w:ilvl w:val="0"/>
          <w:numId w:val="1"/>
        </w:numPr>
      </w:pPr>
      <w:r>
        <w:rPr>
          <w:b w:val="false"/>
          <w:bCs w:val="false"/>
        </w:rPr>
        <w:t xml:space="preserve">All fees are submitted in Canadian dollars, exclusive of GST/HST.</w:t>
      </w:r>
    </w:p>
    <w:p>
      <w:r>
        <w:t xml:space="preserve"/>
      </w:r>
    </w:p>
    <w:p>
      <w:r>
        <w:rPr>
          <w:b w:val="false"/>
          <w:bCs w:val="false"/>
        </w:rPr>
        <w:t xml:space="preserve">NimbleStride Inc. confirms that, to the best of our knowledge, no actual, potential, or perceived conflict of interest exists with respect to this procurement. Should any conflict arise, we commit to immediate written disclosure to ASHC.</w:t>
      </w:r>
    </w:p>
    <w:p>
      <w:r>
        <w:t xml:space="preserve"/>
      </w:r>
    </w:p>
    <w:p>
      <w:r>
        <w:rPr>
          <w:b w:val="false"/>
          <w:bCs w:val="false"/>
        </w:rPr>
        <w:t xml:space="preserve">We look forward to the opportunity to support ASHC's digital service design objectives.</w:t>
      </w:r>
    </w:p>
    <w:p>
      <w:r>
        <w:t xml:space="preserve"/>
      </w:r>
    </w:p>
    <w:p>
      <w:r>
        <w:rPr>
          <w:b w:val="false"/>
          <w:bCs w:val="false"/>
        </w:rPr>
        <w:t xml:space="preserve">Respectfully submitted,</w:t>
      </w:r>
    </w:p>
    <w:p>
      <w:r>
        <w:t xml:space="preserve"/>
      </w:r>
    </w:p>
    <w:p>
      <w:r>
        <w:rPr>
          <w:b/>
          <w:bCs/>
        </w:rPr>
        <w:t xml:space="preserve">Mohammed Yousuf Shariff</w:t>
      </w:r>
    </w:p>
    <w:p>
      <w:r>
        <w:rPr>
          <w:b w:val="false"/>
          <w:bCs w:val="false"/>
        </w:rPr>
        <w:t xml:space="preserve">Principal, NimbleStride Inc. / MGR Infotech</w:t>
      </w:r>
    </w:p>
    <w:p>
      <w:r>
        <w:rPr>
          <w:b w:val="false"/>
          <w:bCs w:val="false"/>
        </w:rPr>
        <w:t xml:space="preserve">1209 Waterford Dr, Chestermere, AB T1X 3A1</w:t>
      </w:r>
    </w:p>
    <w:p>
      <w:r>
        <w:rPr>
          <w:b w:val="false"/>
          <w:bCs w:val="false"/>
        </w:rPr>
        <w:t xml:space="preserve">Email: support@nimblestride.ca</w:t>
      </w:r>
    </w:p>
    <w:p>
      <w:r>
        <w:rPr>
          <w:b w:val="false"/>
          <w:bCs w:val="false"/>
        </w:rPr>
        <w:t xml:space="preserve">Phone: +1 (613) 407-0895</w:t>
      </w:r>
    </w:p>
    <w:p>
      <w:r>
        <w:t xml:space="preserve"/>
      </w:r>
    </w:p>
    <w:p>
      <w:r>
        <w:rPr>
          <w:b w:val="false"/>
          <w:bCs w:val="false"/>
        </w:rPr>
        <w:t xml:space="preserve">*Signed by the person authorized to bind the Consultant.*</w:t>
      </w:r>
    </w:p>
    <w:p>
      <w:r>
        <w:t xml:space="preserve"/>
      </w:r>
    </w:p>
    <w:p>
      <w:r>
        <w:rPr>
          <w:b w:val="false"/>
          <w:bCs w:val="false"/>
        </w:rPr>
        <w:t xml:space="preserve">[PROVIDE: wet or electronic signature of Mohammed Yousuf Shariff]</w:t>
      </w:r>
    </w:p>
    <w:p>
      <w:r>
        <w:t xml:space="preserve"/>
      </w:r>
    </w:p>
    <w:p>
      <w:r>
        <w:rPr>
          <w:b w:val="false"/>
          <w:bCs w:val="false"/>
        </w:rPr>
        <w:t xml:space="preserve">---</w:t>
      </w:r>
    </w:p>
    <w:p>
      <w:r>
        <w:t xml:space="preserve"/>
      </w:r>
    </w:p>
    <w:p>
      <w:pPr>
        <w:pStyle w:val="Heading1"/>
      </w:pPr>
      <w:r>
        <w:rPr>
          <w:b w:val="false"/>
          <w:bCs w:val="false"/>
        </w:rPr>
        <w:t xml:space="preserve">Table of Contents</w:t>
      </w:r>
    </w:p>
    <w:p>
      <w:r>
        <w:t xml:space="preserve"/>
      </w:r>
    </w:p>
    <w:p>
      <w:r>
        <w:rPr>
          <w:b w:val="false"/>
          <w:bCs w:val="false"/>
        </w:rPr>
        <w:t xml:space="preserve">| Section | Title | Page |</w:t>
      </w:r>
    </w:p>
    <w:p>
      <w:r>
        <w:rPr>
          <w:b w:val="false"/>
          <w:bCs w:val="false"/>
        </w:rPr>
        <w:t xml:space="preserve">|---------|-------|------|</w:t>
      </w:r>
    </w:p>
    <w:p>
      <w:r>
        <w:rPr>
          <w:b w:val="false"/>
          <w:bCs w:val="false"/>
        </w:rPr>
        <w:t xml:space="preserve">| 1 | Company Overview | [#] |</w:t>
      </w:r>
    </w:p>
    <w:p>
      <w:r>
        <w:rPr>
          <w:b w:val="false"/>
          <w:bCs w:val="false"/>
        </w:rPr>
        <w:t xml:space="preserve">| 2 | Compliance Response — Mandatory Requirements | [#] |</w:t>
      </w:r>
    </w:p>
    <w:p>
      <w:r>
        <w:rPr>
          <w:b w:val="false"/>
          <w:bCs w:val="false"/>
        </w:rPr>
        <w:t xml:space="preserve">| 3 | Technical Approach | [#] |</w:t>
      </w:r>
    </w:p>
    <w:p>
      <w:r>
        <w:rPr>
          <w:b w:val="false"/>
          <w:bCs w:val="false"/>
        </w:rPr>
        <w:t xml:space="preserve">| 4 | Key Personnel | [#] |</w:t>
      </w:r>
    </w:p>
    <w:p>
      <w:r>
        <w:rPr>
          <w:b w:val="false"/>
          <w:bCs w:val="false"/>
        </w:rPr>
        <w:t xml:space="preserve">| 5 | Relevant Experience &amp; References | [#] |</w:t>
      </w:r>
    </w:p>
    <w:p>
      <w:r>
        <w:rPr>
          <w:b w:val="false"/>
          <w:bCs w:val="false"/>
        </w:rPr>
        <w:t xml:space="preserve">| 6 | Declarations &amp; Required Forms | [#] |</w:t>
      </w:r>
    </w:p>
    <w:p>
      <w:r>
        <w:t xml:space="preserve"/>
      </w:r>
    </w:p>
    <w:p>
      <w:r>
        <w:rPr>
          <w:b w:val="false"/>
          <w:bCs w:val="false"/>
        </w:rPr>
        <w:t xml:space="preserve">&gt; *Note: Table of contents and cover letter are excluded from the 20-page limit per RFP instructions. Individual resumes are also excluded and attached separately.*</w:t>
      </w:r>
    </w:p>
    <w:p>
      <w:r>
        <w:t xml:space="preserve"/>
      </w:r>
    </w:p>
    <w:p>
      <w:r>
        <w:rPr>
          <w:b w:val="false"/>
          <w:bCs w:val="false"/>
        </w:rPr>
        <w:t xml:space="preserve">---</w:t>
      </w:r>
    </w:p>
    <w:p>
      <w:r>
        <w:t xml:space="preserve"/>
      </w:r>
    </w:p>
    <w:p>
      <w:pPr>
        <w:pStyle w:val="Heading1"/>
      </w:pPr>
      <w:r>
        <w:rPr>
          <w:b w:val="false"/>
          <w:bCs w:val="false"/>
        </w:rPr>
        <w:t xml:space="preserve">Section 1 — Company Overview</w:t>
      </w:r>
    </w:p>
    <w:p>
      <w:r>
        <w:t xml:space="preserve"/>
      </w:r>
    </w:p>
    <w:p>
      <w:r>
        <w:rPr>
          <w:b w:val="false"/>
          <w:bCs w:val="false"/>
        </w:rPr>
        <w:t xml:space="preserve">NimbleStride Inc. is an Alberta-incorporated company operating under the trade name MGR Infotech in Saskatchewan. Together, the two entities form a single integrated delivery organization serving public- and private-sector clients across Alberta, Saskatchewan, and Manitoba.</w:t>
      </w:r>
    </w:p>
    <w:p>
      <w:r>
        <w:t xml:space="preserve"/>
      </w:r>
    </w:p>
    <w:p>
      <w:pPr>
        <w:pStyle w:val="ListParagraph"/>
        <w:numPr>
          <w:ilvl w:val="0"/>
          <w:numId w:val="1"/>
        </w:numPr>
      </w:pPr>
      <w:r>
        <w:rPr>
          <w:b/>
          <w:bCs/>
        </w:rPr>
        <w:t xml:space="preserve">NimbleStride Inc.</w:t>
      </w:r>
      <w:r>
        <w:rPr>
          <w:b w:val="false"/>
          <w:bCs w:val="false"/>
        </w:rPr>
        <w:t xml:space="preserve"> focuses on custom software, AI, and web platform development.</w:t>
      </w:r>
    </w:p>
    <w:p>
      <w:pPr>
        <w:pStyle w:val="ListParagraph"/>
        <w:numPr>
          <w:ilvl w:val="0"/>
          <w:numId w:val="1"/>
        </w:numPr>
      </w:pPr>
      <w:r>
        <w:rPr>
          <w:b/>
          <w:bCs/>
        </w:rPr>
        <w:t xml:space="preserve">MGR Infotech</w:t>
      </w:r>
      <w:r>
        <w:rPr>
          <w:b w:val="false"/>
          <w:bCs w:val="false"/>
        </w:rPr>
        <w:t xml:space="preserve"> delivers IT infrastructure, hardware supply, Microsoft services, and physical security systems.</w:t>
      </w:r>
    </w:p>
    <w:p>
      <w:r>
        <w:t xml:space="preserve"/>
      </w:r>
    </w:p>
    <w:p>
      <w:r>
        <w:rPr>
          <w:b w:val="false"/>
          <w:bCs w:val="false"/>
        </w:rPr>
        <w:t xml:space="preserve">The principal point of contact for all engagements is Mohammed Yousuf Shariff, reachable at support@nimblestride.ca or +1 (613) 407-0895. The company's registered address is 1209 Waterford Dr, Chestermere, AB T1X 3A1.</w:t>
      </w:r>
    </w:p>
    <w:p>
      <w:r>
        <w:t xml:space="preserve"/>
      </w:r>
    </w:p>
    <w:p>
      <w:r>
        <w:rPr>
          <w:b w:val="false"/>
          <w:bCs w:val="false"/>
        </w:rPr>
        <w:t xml:space="preserve">[PROVIDE: CRA Business Number, Alberta Corporate Registry number, and Saskatchewan business registration number — required for public-sector vendor registration and bid-submission forms.]</w:t>
      </w:r>
    </w:p>
    <w:p>
      <w:r>
        <w:t xml:space="preserve"/>
      </w:r>
    </w:p>
    <w:p>
      <w:r>
        <w:rPr>
          <w:b w:val="false"/>
          <w:bCs w:val="false"/>
        </w:rPr>
        <w:t xml:space="preserve">Our delivery model is </w:t>
      </w:r>
      <w:r>
        <w:rPr>
          <w:b/>
          <w:bCs/>
        </w:rPr>
        <w:t xml:space="preserve">principal-led</w:t>
      </w:r>
      <w:r>
        <w:rPr>
          <w:b w:val="false"/>
          <w:bCs w:val="false"/>
        </w:rPr>
        <w:t xml:space="preserve">: Mohammed Yousuf Shariff provides direct technical and program leadership on every engagement, with specialist capacity scaled by engaging vetted associate consultants whose skills are matched to each project's specific requirements. All associates operate under confidentiality and data-handling agreements consistent with public-sector requirements.</w:t>
      </w:r>
    </w:p>
    <w:p>
      <w:r>
        <w:t xml:space="preserve"/>
      </w:r>
    </w:p>
    <w:p>
      <w:r>
        <w:rPr>
          <w:b w:val="false"/>
          <w:bCs w:val="false"/>
        </w:rPr>
        <w:t xml:space="preserve">---</w:t>
      </w:r>
    </w:p>
    <w:p>
      <w:r>
        <w:t xml:space="preserve"/>
      </w:r>
    </w:p>
    <w:p>
      <w:pPr>
        <w:pStyle w:val="Heading1"/>
      </w:pPr>
      <w:r>
        <w:rPr>
          <w:b w:val="false"/>
          <w:bCs w:val="false"/>
        </w:rPr>
        <w:t xml:space="preserve">Section 2 — Compliance Response — Mandatory Requirements</w:t>
      </w:r>
    </w:p>
    <w:p>
      <w:r>
        <w:t xml:space="preserve"/>
      </w:r>
    </w:p>
    <w:p>
      <w:r>
        <w:rPr>
          <w:b w:val="false"/>
          <w:bCs w:val="false"/>
        </w:rPr>
        <w:t xml:space="preserve">&gt; Each mandatory requirement group is restated with its RFP page citation, followed by our compliance position.</w:t>
      </w:r>
    </w:p>
    <w:p>
      <w:r>
        <w:t xml:space="preserve"/>
      </w:r>
    </w:p>
    <w:p>
      <w:r>
        <w:rPr>
          <w:b w:val="false"/>
          <w:bCs w:val="false"/>
        </w:rPr>
        <w:t xml:space="preserve">---</w:t>
      </w:r>
    </w:p>
    <w:p>
      <w:r>
        <w:t xml:space="preserve"/>
      </w:r>
    </w:p>
    <w:p>
      <w:pPr>
        <w:pStyle w:val="Heading2"/>
      </w:pPr>
      <w:r>
        <w:rPr>
          <w:b w:val="false"/>
          <w:bCs w:val="false"/>
        </w:rPr>
        <w:t xml:space="preserve">2.1 Submission Requirements</w:t>
      </w:r>
    </w:p>
    <w:p>
      <w:r>
        <w:t xml:space="preserve"/>
      </w:r>
    </w:p>
    <w:p>
      <w:r>
        <w:rPr>
          <w:b/>
          <w:bCs/>
        </w:rPr>
        <w:t xml:space="preserve">Requirement [p.1, p.22]:</w:t>
      </w:r>
      <w:r>
        <w:rPr>
          <w:b w:val="false"/>
          <w:bCs w:val="false"/>
        </w:rPr>
        <w:t xml:space="preserve"> Proposals must be submitted by email to ASHCProcurement@gov.ab.ca no later than September 14, 2026 at 2:00:00 p.m. Alberta time. Proposals received after this time will be rejected. RFP No. must be identified in the email subject line. Only one Proposal per Proponent.</w:t>
      </w:r>
    </w:p>
    <w:p>
      <w:r>
        <w:t xml:space="preserve"/>
      </w:r>
    </w:p>
    <w:p>
      <w:r>
        <w:rPr>
          <w:b/>
          <w:bCs/>
        </w:rPr>
        <w:t xml:space="preserve">How we comply:</w:t>
      </w:r>
      <w:r>
        <w:rPr>
          <w:b w:val="false"/>
          <w:bCs w:val="false"/>
        </w:rPr>
        <w:t xml:space="preserve"> NimbleStride Inc. will submit this Proposal by email to ASHCProcurement@gov.ab.ca with the subject line: *"RFP No. 2026-ASHC-009 — Senior Service &amp; UX Designer Consultant Services — NimbleStride Inc."* on or before the closing date and time. This is our sole Proposal submission for this RFP.</w:t>
      </w:r>
    </w:p>
    <w:p>
      <w:r>
        <w:t xml:space="preserve"/>
      </w:r>
    </w:p>
    <w:p>
      <w:r>
        <w:rPr>
          <w:b w:val="false"/>
          <w:bCs w:val="false"/>
        </w:rPr>
        <w:t xml:space="preserve">---</w:t>
      </w:r>
    </w:p>
    <w:p>
      <w:r>
        <w:t xml:space="preserve"/>
      </w:r>
    </w:p>
    <w:p>
      <w:r>
        <w:rPr>
          <w:b/>
          <w:bCs/>
        </w:rPr>
        <w:t xml:space="preserve">Requirement [p.1, p.7]:</w:t>
      </w:r>
      <w:r>
        <w:rPr>
          <w:b w:val="false"/>
          <w:bCs w:val="false"/>
        </w:rPr>
        <w:t xml:space="preserve"> All inquiries must be submitted by email only to the Inquiries Contact identified on the RFP cover page, with the RFP No. in the email subject line.</w:t>
      </w:r>
    </w:p>
    <w:p>
      <w:r>
        <w:t xml:space="preserve"/>
      </w:r>
    </w:p>
    <w:p>
      <w:r>
        <w:rPr>
          <w:b/>
          <w:bCs/>
        </w:rPr>
        <w:t xml:space="preserve">How we comply:</w:t>
      </w:r>
      <w:r>
        <w:rPr>
          <w:b w:val="false"/>
          <w:bCs w:val="false"/>
        </w:rPr>
        <w:t xml:space="preserve"> All pre-submission inquiries have been or will be submitted by email to the designated Inquiries Contact with RFP No. 2026-ASHC-009 in the subject line.</w:t>
      </w:r>
    </w:p>
    <w:p>
      <w:r>
        <w:t xml:space="preserve"/>
      </w:r>
    </w:p>
    <w:p>
      <w:r>
        <w:rPr>
          <w:b w:val="false"/>
          <w:bCs w:val="false"/>
        </w:rPr>
        <w:t xml:space="preserve">---</w:t>
      </w:r>
    </w:p>
    <w:p>
      <w:r>
        <w:t xml:space="preserve"/>
      </w:r>
    </w:p>
    <w:p>
      <w:r>
        <w:rPr>
          <w:b/>
          <w:bCs/>
        </w:rPr>
        <w:t xml:space="preserve">Requirement [p.10, p.22]:</w:t>
      </w:r>
      <w:r>
        <w:rPr>
          <w:b w:val="false"/>
          <w:bCs w:val="false"/>
        </w:rPr>
        <w:t xml:space="preserve"> Proposals must be submitted as two (2) separate searchable, unprotected PDF documents in one email: Package One (Qualifications Submission, excluding fee information) and Package Two (Fee Proposal Submission). File size of both packages must not exceed 10 MB. All submissions must be in English.</w:t>
      </w:r>
    </w:p>
    <w:p>
      <w:r>
        <w:t xml:space="preserve"/>
      </w:r>
    </w:p>
    <w:p>
      <w:r>
        <w:rPr>
          <w:b/>
          <w:bCs/>
        </w:rPr>
        <w:t xml:space="preserve">How we comply:</w:t>
      </w:r>
      <w:r>
        <w:rPr>
          <w:b w:val="false"/>
          <w:bCs w:val="false"/>
        </w:rPr>
        <w:t xml:space="preserve"> This submission is structured as two separate PDF documents submitted in one email. Both documents are searchable and unprotected. File sizes are within the 10 MB limit. All content is in English.</w:t>
      </w:r>
    </w:p>
    <w:p>
      <w:r>
        <w:t xml:space="preserve"/>
      </w:r>
    </w:p>
    <w:p>
      <w:r>
        <w:rPr>
          <w:b w:val="false"/>
          <w:bCs w:val="false"/>
        </w:rPr>
        <w:t xml:space="preserve">---</w:t>
      </w:r>
    </w:p>
    <w:p>
      <w:r>
        <w:t xml:space="preserve"/>
      </w:r>
    </w:p>
    <w:p>
      <w:r>
        <w:rPr>
          <w:b/>
          <w:bCs/>
        </w:rPr>
        <w:t xml:space="preserve">Requirement [p.10]:</w:t>
      </w:r>
      <w:r>
        <w:rPr>
          <w:b w:val="false"/>
          <w:bCs w:val="false"/>
        </w:rPr>
        <w:t xml:space="preserve"> Each Proponent must propose only one resource per RFP response.</w:t>
      </w:r>
    </w:p>
    <w:p>
      <w:r>
        <w:t xml:space="preserve"/>
      </w:r>
    </w:p>
    <w:p>
      <w:r>
        <w:rPr>
          <w:b/>
          <w:bCs/>
        </w:rPr>
        <w:t xml:space="preserve">How we comply:</w:t>
      </w:r>
      <w:r>
        <w:rPr>
          <w:b w:val="false"/>
          <w:bCs w:val="false"/>
        </w:rPr>
        <w:t xml:space="preserve"> NimbleStride Inc. proposes one (1) resource: </w:t>
      </w:r>
      <w:r>
        <w:rPr>
          <w:b/>
          <w:bCs/>
        </w:rPr>
        <w:t xml:space="preserve">Mohammed Yousuf Shariff</w:t>
      </w:r>
      <w:r>
        <w:rPr>
          <w:b w:val="false"/>
          <w:bCs w:val="false"/>
        </w:rPr>
        <w:t xml:space="preserve">. No additional resources are proposed.</w:t>
      </w:r>
    </w:p>
    <w:p>
      <w:r>
        <w:t xml:space="preserve"/>
      </w:r>
    </w:p>
    <w:p>
      <w:r>
        <w:rPr>
          <w:b w:val="false"/>
          <w:bCs w:val="false"/>
        </w:rPr>
        <w:t xml:space="preserve">---</w:t>
      </w:r>
    </w:p>
    <w:p>
      <w:r>
        <w:t xml:space="preserve"/>
      </w:r>
    </w:p>
    <w:p>
      <w:r>
        <w:rPr>
          <w:b/>
          <w:bCs/>
        </w:rPr>
        <w:t xml:space="preserve">Requirement [p.16, p.29]:</w:t>
      </w:r>
      <w:r>
        <w:rPr>
          <w:b w:val="false"/>
          <w:bCs w:val="false"/>
        </w:rPr>
        <w:t xml:space="preserve"> Proponent must confirm receipt of all addenda; the Consultant shall submit periodic written status reports to ASHC as requested, including services completed, time schedule for incomplete portions, and any other requested information. Monthly written status updates are required.</w:t>
      </w:r>
    </w:p>
    <w:p>
      <w:r>
        <w:t xml:space="preserve"/>
      </w:r>
    </w:p>
    <w:p>
      <w:r>
        <w:rPr>
          <w:b/>
          <w:bCs/>
        </w:rPr>
        <w:t xml:space="preserve">How we comply:</w:t>
      </w:r>
      <w:r>
        <w:rPr>
          <w:b w:val="false"/>
          <w:bCs w:val="false"/>
        </w:rPr>
        <w:t xml:space="preserve"> We confirm receipt and consideration of all addenda issued as of the submission date [PROVIDE: list addendum numbers or confirm none issued]. We commit to providing monthly written status reports and any additional periodic reports as requested by ASHC, covering: services completed during the reporting period; time schedule for portions not yet completed; and any other information requested by ASHC.</w:t>
      </w:r>
    </w:p>
    <w:p>
      <w:r>
        <w:t xml:space="preserve"/>
      </w:r>
    </w:p>
    <w:p>
      <w:r>
        <w:rPr>
          <w:b w:val="false"/>
          <w:bCs w:val="false"/>
        </w:rPr>
        <w:t xml:space="preserve">---</w:t>
      </w:r>
    </w:p>
    <w:p>
      <w:r>
        <w:t xml:space="preserve"/>
      </w:r>
    </w:p>
    <w:p>
      <w:r>
        <w:rPr>
          <w:b/>
          <w:bCs/>
        </w:rPr>
        <w:t xml:space="preserve">Requirement [p.19]:</w:t>
      </w:r>
      <w:r>
        <w:rPr>
          <w:b w:val="false"/>
          <w:bCs w:val="false"/>
        </w:rPr>
        <w:t xml:space="preserve"> RFP documents are only available through Alberta Purchasing Connection at https://purchasing.alberta.ca/.</w:t>
      </w:r>
    </w:p>
    <w:p>
      <w:r>
        <w:t xml:space="preserve"/>
      </w:r>
    </w:p>
    <w:p>
      <w:r>
        <w:rPr>
          <w:b/>
          <w:bCs/>
        </w:rPr>
        <w:t xml:space="preserve">How we comply:</w:t>
      </w:r>
      <w:r>
        <w:rPr>
          <w:b w:val="false"/>
          <w:bCs w:val="false"/>
        </w:rPr>
        <w:t xml:space="preserve"> This RFP was obtained through Alberta Purchasing Connection at https://purchasing.alberta.ca/.</w:t>
      </w:r>
    </w:p>
    <w:p>
      <w:r>
        <w:t xml:space="preserve"/>
      </w:r>
    </w:p>
    <w:p>
      <w:r>
        <w:rPr>
          <w:b w:val="false"/>
          <w:bCs w:val="false"/>
        </w:rPr>
        <w:t xml:space="preserve">---</w:t>
      </w:r>
    </w:p>
    <w:p>
      <w:r>
        <w:t xml:space="preserve"/>
      </w:r>
    </w:p>
    <w:p>
      <w:r>
        <w:rPr>
          <w:b/>
          <w:bCs/>
        </w:rPr>
        <w:t xml:space="preserve">Requirement [p.21]:</w:t>
      </w:r>
      <w:r>
        <w:rPr>
          <w:b w:val="false"/>
          <w:bCs w:val="false"/>
        </w:rPr>
        <w:t xml:space="preserve"> Conflict of interest must be fully disclosed in writing to ASHC before the RFP Closing Date and Time.</w:t>
      </w:r>
    </w:p>
    <w:p>
      <w:r>
        <w:t xml:space="preserve"/>
      </w:r>
    </w:p>
    <w:p>
      <w:r>
        <w:rPr>
          <w:b/>
          <w:bCs/>
        </w:rPr>
        <w:t xml:space="preserve">How we comply:</w:t>
      </w:r>
      <w:r>
        <w:rPr>
          <w:b w:val="false"/>
          <w:bCs w:val="false"/>
        </w:rPr>
        <w:t xml:space="preserve"> NimbleStride Inc. and MGR Infotech confirm that, to the best of their knowledge, no actual, potential, or perceived conflict of interest exists with respect to this procurement. Neither entity, nor principal Mohammed Yousuf Shariff, holds a current employment, financial, or familial relationship with any employee of ASHC that could improperly influence the award or delivery of this contract. Should any conflict arise during the engagement, NimbleStride Inc. commits to disclosing it immediately in writing to ASHC and cooperating fully with any required mitigation measures. NimbleStride Inc. and MGR Infotech confirm no actual, potential, or perceived conflict of interest exists with respect to this ASHC procurement; principal Mohammed Yousuf Shariff holds no employment, financial, or familial relationship with any ASHC employee that could influence award or delivery. Review ASHC's specific COI definition in Section 5, complete their declaration form using this statement as the basis, and have Mr. Shariff sign it.</w:t>
      </w:r>
    </w:p>
    <w:p>
      <w:r>
        <w:t xml:space="preserve"/>
      </w:r>
    </w:p>
    <w:p>
      <w:r>
        <w:rPr>
          <w:b w:val="false"/>
          <w:bCs w:val="false"/>
        </w:rPr>
        <w:t xml:space="preserve">---</w:t>
      </w:r>
    </w:p>
    <w:p>
      <w:r>
        <w:t xml:space="preserve"/>
      </w:r>
    </w:p>
    <w:p>
      <w:r>
        <w:rPr>
          <w:b/>
          <w:bCs/>
        </w:rPr>
        <w:t xml:space="preserve">Requirement [p.20, p.33]:</w:t>
      </w:r>
      <w:r>
        <w:rPr>
          <w:b w:val="false"/>
          <w:bCs w:val="false"/>
        </w:rPr>
        <w:t xml:space="preserve"> The Consultant must reside in Canada and all work must be performed within Canada. All records of Personal Information must be stored only in Canada. The Consultant shall adhere to POPA and the terms of the Contract in its collection, use, and disclosure of Personal Information. Work must be completed during regular business hours.</w:t>
      </w:r>
    </w:p>
    <w:p>
      <w:r>
        <w:t xml:space="preserve"/>
      </w:r>
    </w:p>
    <w:p>
      <w:r>
        <w:rPr>
          <w:b/>
          <w:bCs/>
        </w:rPr>
        <w:t xml:space="preserve">How we comply:</w:t>
      </w:r>
      <w:r>
        <w:rPr>
          <w:b w:val="false"/>
          <w:bCs w:val="false"/>
        </w:rPr>
        <w:t xml:space="preserve"> Mohammed Yousuf Shariff resides in Chestermere, Alberta, Canada. All work will be performed within Canada during regular business hours. In-Canada data residency is standard practice across our product portfolio: all data is hosted and processed on Canadian-region cloud infrastructure, encrypted at rest (AES-256) and in transit (TLS 1.2+), with role-based least-privilege access and full audit logging. We will adhere to Alberta's *Protection of Personal Information Act* (PIPA/POPA) and all applicable privacy obligations under the Contract. Personal Information will be collected, used, and disclosed only as reasonably required to fulfill contractual obligations or as expressly authorized in writing by ASHC, and will be stored exclusively in Canada.</w:t>
      </w:r>
    </w:p>
    <w:p>
      <w:r>
        <w:t xml:space="preserve"/>
      </w:r>
    </w:p>
    <w:p>
      <w:r>
        <w:rPr>
          <w:b w:val="false"/>
          <w:bCs w:val="false"/>
        </w:rPr>
        <w:t xml:space="preserve">---</w:t>
      </w:r>
    </w:p>
    <w:p>
      <w:r>
        <w:t xml:space="preserve"/>
      </w:r>
    </w:p>
    <w:p>
      <w:r>
        <w:rPr>
          <w:b/>
          <w:bCs/>
        </w:rPr>
        <w:t xml:space="preserve">Requirement [p.20]:</w:t>
      </w:r>
      <w:r>
        <w:rPr>
          <w:b w:val="false"/>
          <w:bCs w:val="false"/>
        </w:rPr>
        <w:t xml:space="preserve"> Should the Consultant receive an access request under ATIA, the Consultant shall not respond to it but shall immediately forward the access request to ASHC.</w:t>
      </w:r>
    </w:p>
    <w:p>
      <w:r>
        <w:t xml:space="preserve"/>
      </w:r>
    </w:p>
    <w:p>
      <w:r>
        <w:rPr>
          <w:b/>
          <w:bCs/>
        </w:rPr>
        <w:t xml:space="preserve">How we comply:</w:t>
      </w:r>
      <w:r>
        <w:rPr>
          <w:b w:val="false"/>
          <w:bCs w:val="false"/>
        </w:rPr>
        <w:t xml:space="preserve"> NimbleStride Inc. acknowledges and accepts this obligation. Any access request received under the *Access to Information Act* (ATIA) will be immediately forwarded to ASHC without response by the Consultant.</w:t>
      </w:r>
    </w:p>
    <w:p>
      <w:r>
        <w:t xml:space="preserve"/>
      </w:r>
    </w:p>
    <w:p>
      <w:r>
        <w:rPr>
          <w:b w:val="false"/>
          <w:bCs w:val="false"/>
        </w:rPr>
        <w:t xml:space="preserve">---</w:t>
      </w:r>
    </w:p>
    <w:p>
      <w:r>
        <w:t xml:space="preserve"/>
      </w:r>
    </w:p>
    <w:p>
      <w:r>
        <w:rPr>
          <w:b/>
          <w:bCs/>
        </w:rPr>
        <w:t xml:space="preserve">Requirement [p.31, p.37]:</w:t>
      </w:r>
      <w:r>
        <w:rPr>
          <w:b w:val="false"/>
          <w:bCs w:val="false"/>
        </w:rPr>
        <w:t xml:space="preserve"> No subcontracting without prior written approval of ASHC. Conflict of interest must be monitored and disclosed immediately. Third-party copyright materials require written permission from the copyright holder, with copies provided to ASHC.</w:t>
      </w:r>
    </w:p>
    <w:p>
      <w:r>
        <w:t xml:space="preserve"/>
      </w:r>
    </w:p>
    <w:p>
      <w:r>
        <w:rPr>
          <w:b/>
          <w:bCs/>
        </w:rPr>
        <w:t xml:space="preserve">How we comply:</w:t>
      </w:r>
      <w:r>
        <w:rPr>
          <w:b w:val="false"/>
          <w:bCs w:val="false"/>
        </w:rPr>
        <w:t xml:space="preserve"> NimbleStride Inc. will not subcontract any portion of the Services without prior written approval from ASHC. We will monitor for and immediately disclose in writing any conflict of interest that arises during the engagement. Prior to incorporating any third-party copyright materials into deliverables, we will obtain written permission from the copyright holder and provide ASHC with copies of such permissions.</w:t>
      </w:r>
    </w:p>
    <w:p>
      <w:r>
        <w:t xml:space="preserve"/>
      </w:r>
    </w:p>
    <w:p>
      <w:r>
        <w:rPr>
          <w:b w:val="false"/>
          <w:bCs w:val="false"/>
        </w:rPr>
        <w:t xml:space="preserve">---</w:t>
      </w:r>
    </w:p>
    <w:p>
      <w:r>
        <w:t xml:space="preserve"/>
      </w:r>
    </w:p>
    <w:p>
      <w:pPr>
        <w:pStyle w:val="Heading2"/>
      </w:pPr>
      <w:r>
        <w:rPr>
          <w:b w:val="false"/>
          <w:bCs w:val="false"/>
        </w:rPr>
        <w:t xml:space="preserve">2.2 Format Requirements</w:t>
      </w:r>
    </w:p>
    <w:p>
      <w:r>
        <w:t xml:space="preserve"/>
      </w:r>
    </w:p>
    <w:p>
      <w:r>
        <w:rPr>
          <w:b/>
          <w:bCs/>
        </w:rPr>
        <w:t xml:space="preserve">Requirement [p.9, p.10]:</w:t>
      </w:r>
      <w:r>
        <w:rPr>
          <w:b w:val="false"/>
          <w:bCs w:val="false"/>
        </w:rPr>
        <w:t xml:space="preserve"> Proposal must be organized using exact section titles, numbering, and sequence as specified in the RFP. Must include a Table of Contents. Package One limited to 20 single-sided 8½" x 11" pages (11" x 17" counts as 2 pages); excludes cover letter, table of contents, and individual resumes. Font: 11-point Arial or 12-point Times New Roman or equivalent.</w:t>
      </w:r>
    </w:p>
    <w:p>
      <w:r>
        <w:t xml:space="preserve"/>
      </w:r>
    </w:p>
    <w:p>
      <w:r>
        <w:rPr>
          <w:b/>
          <w:bCs/>
        </w:rPr>
        <w:t xml:space="preserve">How we comply:</w:t>
      </w:r>
      <w:r>
        <w:rPr>
          <w:b w:val="false"/>
          <w:bCs w:val="false"/>
        </w:rPr>
        <w:t xml:space="preserve"> This Proposal is organized using the section titles, numbering, and sequence specified in the RFP. A Table of Contents is included. Package One is formatted in Confirm the font used throughout the submission document — select either 11-point Arial or 12-point Times New Roman as required by the RFP formatting rules and apply it consistently before finalizing the package. on 8½" x 11" pages and does not exceed 20 pages (excluding cover letter, table of contents, and resumes).</w:t>
      </w:r>
    </w:p>
    <w:p>
      <w:r>
        <w:t xml:space="preserve"/>
      </w:r>
    </w:p>
    <w:p>
      <w:r>
        <w:rPr>
          <w:b w:val="false"/>
          <w:bCs w:val="false"/>
        </w:rPr>
        <w:t xml:space="preserve">---</w:t>
      </w:r>
    </w:p>
    <w:p>
      <w:r>
        <w:t xml:space="preserve"/>
      </w:r>
    </w:p>
    <w:p>
      <w:r>
        <w:rPr>
          <w:b/>
          <w:bCs/>
        </w:rPr>
        <w:t xml:space="preserve">Requirement [p.21, p.28]:</w:t>
      </w:r>
      <w:r>
        <w:rPr>
          <w:b w:val="false"/>
          <w:bCs w:val="false"/>
        </w:rPr>
        <w:t xml:space="preserve"> Fee must be submitted in Canadian dollars, exclusive of GST/HST. Amount must be greater than zero. In the event of a Fixed Fee, words shall govern over numbers in case of inconsistency.</w:t>
      </w:r>
    </w:p>
    <w:p>
      <w:r>
        <w:t xml:space="preserve"/>
      </w:r>
    </w:p>
    <w:p>
      <w:r>
        <w:rPr>
          <w:b/>
          <w:bCs/>
        </w:rPr>
        <w:t xml:space="preserve">How we comply:</w:t>
      </w:r>
      <w:r>
        <w:rPr>
          <w:b w:val="false"/>
          <w:bCs w:val="false"/>
        </w:rPr>
        <w:t xml:space="preserve"> The Fee Proposal is submitted in Package Two in Canadian dollars, exclusive of GST/HST, with an amount greater than zero for each part. [PROVIDE: confirm pricing in Package Two.]</w:t>
      </w:r>
    </w:p>
    <w:p>
      <w:r>
        <w:t xml:space="preserve"/>
      </w:r>
    </w:p>
    <w:p>
      <w:r>
        <w:rPr>
          <w:b w:val="false"/>
          <w:bCs w:val="false"/>
        </w:rPr>
        <w:t xml:space="preserve">---</w:t>
      </w:r>
    </w:p>
    <w:p>
      <w:r>
        <w:t xml:space="preserve"/>
      </w:r>
    </w:p>
    <w:p>
      <w:pPr>
        <w:pStyle w:val="Heading2"/>
      </w:pPr>
      <w:r>
        <w:rPr>
          <w:b w:val="false"/>
          <w:bCs w:val="false"/>
        </w:rPr>
        <w:t xml:space="preserve">2.3 Personnel Requirements</w:t>
      </w:r>
    </w:p>
    <w:p>
      <w:r>
        <w:t xml:space="preserve"/>
      </w:r>
    </w:p>
    <w:p>
      <w:r>
        <w:rPr>
          <w:b/>
          <w:bCs/>
        </w:rPr>
        <w:t xml:space="preserve">Requirement [p.6, p.23, p.42–p.45]:</w:t>
      </w:r>
      <w:r>
        <w:rPr>
          <w:b w:val="false"/>
          <w:bCs w:val="false"/>
        </w:rPr>
        <w:t xml:space="preserve"> The successful Proponent must appoint a project leader to interface with ASHC's project manager. Representatives of the Proponent's firm, the team lead, and key personnel (including major subconsultants) will be required to attend presentations if requested. Proponents must immediately advise ASHC if any Team Member or Key Individual will be unable to participate, and provide all required information for any proposed substitute. Failure to comply may result in disqualification.</w:t>
      </w:r>
    </w:p>
    <w:p>
      <w:r>
        <w:t xml:space="preserve"/>
      </w:r>
    </w:p>
    <w:p>
      <w:r>
        <w:rPr>
          <w:b/>
          <w:bCs/>
        </w:rPr>
        <w:t xml:space="preserve">How we comply:</w:t>
      </w:r>
      <w:r>
        <w:rPr>
          <w:b w:val="false"/>
          <w:bCs w:val="false"/>
        </w:rPr>
        <w:t xml:space="preserve"> Mohammed Yousuf Shariff is designated as the Project Leader and will interface directly with ASHC's project manager throughout the engagement. He will be available to attend any presentation or interview requested by ASHC. In the event that Mr. Shariff becomes unable to participate, NimbleStride Inc. will immediately notify ASHC in writing and provide full information on any proposed substitute, including all information required by this RFP in respect of Team Members and Key Individuals.</w:t>
      </w:r>
    </w:p>
    <w:p>
      <w:r>
        <w:t xml:space="preserve"/>
      </w:r>
    </w:p>
    <w:p>
      <w:r>
        <w:rPr>
          <w:b w:val="false"/>
          <w:bCs w:val="false"/>
        </w:rPr>
        <w:t xml:space="preserve">---</w:t>
      </w:r>
    </w:p>
    <w:p>
      <w:r>
        <w:t xml:space="preserve"/>
      </w:r>
    </w:p>
    <w:p>
      <w:r>
        <w:rPr>
          <w:b/>
          <w:bCs/>
        </w:rPr>
        <w:t xml:space="preserve">Requirement [p.10–p.11] — ⚠️ MANDATORY EXPERIENCE THRESHOLD:</w:t>
      </w:r>
    </w:p>
    <w:p>
      <w:pPr>
        <w:pStyle w:val="ListParagraph"/>
        <w:numPr>
          <w:ilvl w:val="0"/>
          <w:numId w:val="1"/>
        </w:numPr>
      </w:pPr>
      <w:r>
        <w:rPr>
          <w:b w:val="false"/>
          <w:bCs w:val="false"/>
        </w:rPr>
        <w:t xml:space="preserve">Minimum </w:t>
      </w:r>
      <w:r>
        <w:rPr>
          <w:b/>
          <w:bCs/>
        </w:rPr>
        <w:t xml:space="preserve">ten (10) years</w:t>
      </w:r>
      <w:r>
        <w:rPr>
          <w:b w:val="false"/>
          <w:bCs w:val="false"/>
        </w:rPr>
        <w:t xml:space="preserve"> of progressive experience delivering UX, UI, and Service Design within complex enterprise environments, preferably government, public sector, or similarly regulated organizations.</w:t>
      </w:r>
    </w:p>
    <w:p>
      <w:pPr>
        <w:pStyle w:val="ListParagraph"/>
        <w:numPr>
          <w:ilvl w:val="0"/>
          <w:numId w:val="1"/>
        </w:numPr>
      </w:pPr>
      <w:r>
        <w:rPr>
          <w:b w:val="false"/>
          <w:bCs w:val="false"/>
        </w:rPr>
        <w:t xml:space="preserve">Minimum </w:t>
      </w:r>
      <w:r>
        <w:rPr>
          <w:b/>
          <w:bCs/>
        </w:rPr>
        <w:t xml:space="preserve">five (5) years</w:t>
      </w:r>
      <w:r>
        <w:rPr>
          <w:b w:val="false"/>
          <w:bCs w:val="false"/>
        </w:rPr>
        <w:t xml:space="preserve"> of experience supporting digital transformation initiatives within government, public sector, crown corporations, or comparable environments.</w:t>
      </w:r>
    </w:p>
    <w:p>
      <w:pPr>
        <w:pStyle w:val="ListParagraph"/>
        <w:numPr>
          <w:ilvl w:val="0"/>
          <w:numId w:val="1"/>
        </w:numPr>
      </w:pPr>
      <w:r>
        <w:rPr>
          <w:b w:val="false"/>
          <w:bCs w:val="false"/>
        </w:rPr>
        <w:t xml:space="preserve">Post-secondary diploma or degree in Interaction Design, HCI, Product Design, UX Design, Industrial Design, Graphic Design, Computer Science, or a related discipline.</w:t>
      </w:r>
    </w:p>
    <w:p>
      <w:r>
        <w:t xml:space="preserve"/>
      </w:r>
    </w:p>
    <w:p>
      <w:r>
        <w:rPr>
          <w:b/>
          <w:bCs/>
        </w:rPr>
        <w:t xml:space="preserve">How we comply:</w:t>
      </w:r>
    </w:p>
    <w:p>
      <w:r>
        <w:t xml:space="preserve"/>
      </w:r>
    </w:p>
    <w:p>
      <w:r>
        <w:rPr>
          <w:b w:val="false"/>
          <w:bCs w:val="false"/>
        </w:rPr>
        <w:t xml:space="preserve">&gt; ⚠️ </w:t>
      </w:r>
      <w:r>
        <w:rPr>
          <w:b/>
          <w:bCs/>
        </w:rPr>
        <w:t xml:space="preserve">POTENTIAL DISQUALIFICATION RISK — HUMAN REVIEW REQUIRED</w:t>
      </w:r>
    </w:p>
    <w:p>
      <w:r>
        <w:rPr>
          <w:b w:val="false"/>
          <w:bCs w:val="false"/>
        </w:rPr>
        <w:t xml:space="preserve">&gt;</w:t>
      </w:r>
    </w:p>
    <w:p>
      <w:r>
        <w:rPr>
          <w:b w:val="false"/>
          <w:bCs w:val="false"/>
        </w:rPr>
        <w:t xml:space="preserve">&gt; The dossier establishes that Mohammed Yousuf Shariff has </w:t>
      </w:r>
      <w:r>
        <w:rPr>
          <w:b/>
          <w:bCs/>
        </w:rPr>
        <w:t xml:space="preserve">17+ years</w:t>
      </w:r>
      <w:r>
        <w:rPr>
          <w:b w:val="false"/>
          <w:bCs w:val="false"/>
        </w:rPr>
        <w:t xml:space="preserve"> of experience spanning software development, IT operations, and program delivery, and holds a </w:t>
      </w:r>
      <w:r>
        <w:rPr>
          <w:b/>
          <w:bCs/>
        </w:rPr>
        <w:t xml:space="preserve">B.Tech in Electrical &amp; Electronics Engineering</w:t>
      </w:r>
      <w:r>
        <w:rPr>
          <w:b w:val="false"/>
          <w:bCs w:val="false"/>
        </w:rPr>
        <w:t xml:space="preserve"> (a related discipline). His experience includes hands-on design and delivery of production digital platforms (ClearBid, ClearBind, OSFI E-23 platform, GridWitness) and 9+ years of scaled Agile delivery leadership at regulated financial institutions (Northbridge Insurance, Intact Insurance, CIBC, Servus Credit Union).</w:t>
      </w:r>
    </w:p>
    <w:p>
      <w:r>
        <w:rPr>
          <w:b w:val="false"/>
          <w:bCs w:val="false"/>
        </w:rPr>
        <w:t xml:space="preserve">&gt;</w:t>
      </w:r>
    </w:p>
    <w:p>
      <w:r>
        <w:rPr>
          <w:b w:val="false"/>
          <w:bCs w:val="false"/>
        </w:rPr>
        <w:t xml:space="preserve">&gt; </w:t>
      </w:r>
      <w:r>
        <w:rPr>
          <w:b/>
          <w:bCs/>
        </w:rPr>
        <w:t xml:space="preserve">However, the dossier does not explicitly characterize his experience as "UX, UI, and Service Design" by title or discipline, nor does it confirm 5+ years specifically within government or public-sector digital transformation.</w:t>
      </w:r>
      <w:r>
        <w:rPr>
          <w:b w:val="false"/>
          <w:bCs w:val="false"/>
        </w:rPr>
        <w:t xml:space="preserve"> Before submitting, the human reviewer must:</w:t>
      </w:r>
    </w:p>
    <w:p>
      <w:r>
        <w:rPr>
          <w:b w:val="false"/>
          <w:bCs w:val="false"/>
        </w:rPr>
        <w:t xml:space="preserve">&gt;</w:t>
      </w:r>
    </w:p>
    <w:p>
      <w:r>
        <w:rPr>
          <w:b w:val="false"/>
          <w:bCs w:val="false"/>
        </w:rPr>
        <w:t xml:space="preserve">&gt; 1. [PROVIDE: confirm and document that Mr. Shariff's 17+ years of experience includes at least 10 years of progressive UX/UI/Service Design work — provide specific project examples, dates, and roles that demonstrate this.]</w:t>
      </w:r>
    </w:p>
    <w:p>
      <w:r>
        <w:rPr>
          <w:b w:val="false"/>
          <w:bCs w:val="false"/>
        </w:rPr>
        <w:t xml:space="preserve">&gt; 2. [PROVIDE: confirm and document at least 5 years of experience supporting digital transformation within government, public sector, crown corporations, or comparable regulated environments — with specific project names, client types, and dates.]</w:t>
      </w:r>
    </w:p>
    <w:p>
      <w:r>
        <w:rPr>
          <w:b w:val="false"/>
          <w:bCs w:val="false"/>
        </w:rPr>
        <w:t xml:space="preserve">&gt; 3. [CONFIRM: does B.Tech (Electrical &amp; Electronics Engineering) satisfy the listed qualifying disciplines? If there is any doubt, provide supplementary evidence of UX/design coursework, certifications (e.g., Nielsen Norman Group UX Certification, Interaction Design Foundation), or equivalent demonstrated competency.]</w:t>
      </w:r>
    </w:p>
    <w:p>
      <w:r>
        <w:rPr>
          <w:b w:val="false"/>
          <w:bCs w:val="false"/>
        </w:rPr>
        <w:t xml:space="preserve">&gt;</w:t>
      </w:r>
    </w:p>
    <w:p>
      <w:r>
        <w:rPr>
          <w:b w:val="false"/>
          <w:bCs w:val="false"/>
        </w:rPr>
        <w:t xml:space="preserve">&gt; If these thresholds cannot be substantiated, </w:t>
      </w:r>
      <w:r>
        <w:rPr>
          <w:b/>
          <w:bCs/>
        </w:rPr>
        <w:t xml:space="preserve">this Proposal may be declared non-compliant and rejected at the mandatory screening stage.</w:t>
      </w:r>
    </w:p>
    <w:p>
      <w:r>
        <w:t xml:space="preserve"/>
      </w:r>
    </w:p>
    <w:p>
      <w:r>
        <w:rPr>
          <w:b w:val="false"/>
          <w:bCs w:val="false"/>
        </w:rPr>
        <w:t xml:space="preserve">Subject to the above confirmation, NimbleStride Inc. asserts the following on behalf of the proposed resource:</w:t>
      </w:r>
    </w:p>
    <w:p>
      <w:r>
        <w:t xml:space="preserve"/>
      </w:r>
    </w:p>
    <w:p>
      <w:r>
        <w:rPr>
          <w:b w:val="false"/>
          <w:bCs w:val="false"/>
        </w:rPr>
        <w:t xml:space="preserve">Mohammed Yousuf Shariff brings </w:t>
      </w:r>
      <w:r>
        <w:rPr>
          <w:b/>
          <w:bCs/>
        </w:rPr>
        <w:t xml:space="preserve">17+ years</w:t>
      </w:r>
      <w:r>
        <w:rPr>
          <w:b w:val="false"/>
          <w:bCs w:val="false"/>
        </w:rPr>
        <w:t xml:space="preserve"> of progressive experience in the design and delivery of complex digital products and platforms. His academic background — a </w:t>
      </w:r>
      <w:r>
        <w:rPr>
          <w:b/>
          <w:bCs/>
        </w:rPr>
        <w:t xml:space="preserve">B.Tech in Electrical &amp; Electronics Engineering</w:t>
      </w:r>
      <w:r>
        <w:rPr>
          <w:b w:val="false"/>
          <w:bCs w:val="false"/>
        </w:rPr>
        <w:t xml:space="preserve"> — provides the technical foundation for human-centred digital design. [PROVIDE: expand this section with specific UX/UI/Service Design project examples, roles, and dates once confirmed per the flags above.]</w:t>
      </w:r>
    </w:p>
    <w:p>
      <w:r>
        <w:t xml:space="preserve"/>
      </w:r>
    </w:p>
    <w:p>
      <w:r>
        <w:rPr>
          <w:b w:val="false"/>
          <w:bCs w:val="false"/>
        </w:rPr>
        <w:t xml:space="preserve">---</w:t>
      </w:r>
    </w:p>
    <w:p>
      <w:r>
        <w:t xml:space="preserve"/>
      </w:r>
    </w:p>
    <w:p>
      <w:r>
        <w:rPr>
          <w:b/>
          <w:bCs/>
        </w:rPr>
        <w:t xml:space="preserve">Requirement [p.34, p.49]:</w:t>
      </w:r>
      <w:r>
        <w:rPr>
          <w:b w:val="false"/>
          <w:bCs w:val="false"/>
        </w:rPr>
        <w:t xml:space="preserve"> Personnel replacement must comply with Article 12 of the Contract. Failure to comply is an act of default.</w:t>
      </w:r>
    </w:p>
    <w:p>
      <w:r>
        <w:t xml:space="preserve"/>
      </w:r>
    </w:p>
    <w:p>
      <w:r>
        <w:rPr>
          <w:b/>
          <w:bCs/>
        </w:rPr>
        <w:t xml:space="preserve">How we comply:</w:t>
      </w:r>
      <w:r>
        <w:rPr>
          <w:b w:val="false"/>
          <w:bCs w:val="false"/>
        </w:rPr>
        <w:t xml:space="preserve"> NimbleStride Inc. acknowledges and accepts the personnel replacement obligations under Article 12 of the Contract. Any personnel change will be handled in full compliance with those provisions.</w:t>
      </w:r>
    </w:p>
    <w:p>
      <w:r>
        <w:t xml:space="preserve"/>
      </w:r>
    </w:p>
    <w:p>
      <w:r>
        <w:rPr>
          <w:b w:val="false"/>
          <w:bCs w:val="false"/>
        </w:rPr>
        <w:t xml:space="preserve">---</w:t>
      </w:r>
    </w:p>
    <w:p>
      <w:r>
        <w:t xml:space="preserve"/>
      </w:r>
    </w:p>
    <w:p>
      <w:pPr>
        <w:pStyle w:val="Heading2"/>
      </w:pPr>
      <w:r>
        <w:rPr>
          <w:b w:val="false"/>
          <w:bCs w:val="false"/>
        </w:rPr>
        <w:t xml:space="preserve">2.4 Insurance Requirements</w:t>
      </w:r>
    </w:p>
    <w:p>
      <w:r>
        <w:t xml:space="preserve"/>
      </w:r>
    </w:p>
    <w:p>
      <w:r>
        <w:rPr>
          <w:b/>
          <w:bCs/>
        </w:rPr>
        <w:t xml:space="preserve">Requirement [p.34]:</w:t>
      </w:r>
    </w:p>
    <w:p>
      <w:pPr>
        <w:pStyle w:val="ListParagraph"/>
        <w:numPr>
          <w:ilvl w:val="0"/>
          <w:numId w:val="1"/>
        </w:numPr>
      </w:pPr>
      <w:r>
        <w:rPr>
          <w:b w:val="false"/>
          <w:bCs w:val="false"/>
        </w:rPr>
        <w:t xml:space="preserve">Commercial General Liability (CGL): minimum </w:t>
      </w:r>
      <w:r>
        <w:rPr>
          <w:b/>
          <w:bCs/>
        </w:rPr>
        <w:t xml:space="preserve">$2,000,000</w:t>
      </w:r>
      <w:r>
        <w:rPr>
          <w:b w:val="false"/>
          <w:bCs w:val="false"/>
        </w:rPr>
        <w:t xml:space="preserve"> inclusive per occurrence (bodily injury, personal injury, property damage including loss of use); endorsed for minimum 30 days advance written notice of cancellation to ASHC.</w:t>
      </w:r>
    </w:p>
    <w:p>
      <w:pPr>
        <w:pStyle w:val="ListParagraph"/>
        <w:numPr>
          <w:ilvl w:val="0"/>
          <w:numId w:val="1"/>
        </w:numPr>
      </w:pPr>
      <w:r>
        <w:rPr>
          <w:b w:val="false"/>
          <w:bCs w:val="false"/>
        </w:rPr>
        <w:t xml:space="preserve">Automobile Liability: minimum </w:t>
      </w:r>
      <w:r>
        <w:rPr>
          <w:b/>
          <w:bCs/>
        </w:rPr>
        <w:t xml:space="preserve">$2,000,000</w:t>
      </w:r>
      <w:r>
        <w:rPr>
          <w:b w:val="false"/>
          <w:bCs w:val="false"/>
        </w:rPr>
        <w:t xml:space="preserve"> on all vehicles owned and licensed in the Consultant's name used in performance of Services.</w:t>
      </w:r>
    </w:p>
    <w:p>
      <w:pPr>
        <w:pStyle w:val="ListParagraph"/>
        <w:numPr>
          <w:ilvl w:val="0"/>
          <w:numId w:val="1"/>
        </w:numPr>
      </w:pPr>
      <w:r>
        <w:rPr>
          <w:b w:val="false"/>
          <w:bCs w:val="false"/>
        </w:rPr>
        <w:t xml:space="preserve">Professional Liability (E&amp;O): minimum </w:t>
      </w:r>
      <w:r>
        <w:rPr>
          <w:b/>
          <w:bCs/>
        </w:rPr>
        <w:t xml:space="preserve">$1,000,000</w:t>
      </w:r>
      <w:r>
        <w:rPr>
          <w:b w:val="false"/>
          <w:bCs w:val="false"/>
        </w:rPr>
        <w:t xml:space="preserve"> per claim, on a claims-made basis; must remain in place for </w:t>
      </w:r>
      <w:r>
        <w:rPr>
          <w:b/>
          <w:bCs/>
        </w:rPr>
        <w:t xml:space="preserve">two years</w:t>
      </w:r>
      <w:r>
        <w:rPr>
          <w:b w:val="false"/>
          <w:bCs w:val="false"/>
        </w:rPr>
        <w:t xml:space="preserve"> following completion or termination of the Contract.</w:t>
      </w:r>
    </w:p>
    <w:p>
      <w:pPr>
        <w:pStyle w:val="ListParagraph"/>
        <w:numPr>
          <w:ilvl w:val="0"/>
          <w:numId w:val="1"/>
        </w:numPr>
      </w:pPr>
      <w:r>
        <w:rPr>
          <w:b w:val="false"/>
          <w:bCs w:val="false"/>
        </w:rPr>
        <w:t xml:space="preserve">All subconsultants must maintain comparable insurance.</w:t>
      </w:r>
    </w:p>
    <w:p>
      <w:pPr>
        <w:pStyle w:val="ListParagraph"/>
        <w:numPr>
          <w:ilvl w:val="0"/>
          <w:numId w:val="1"/>
        </w:numPr>
      </w:pPr>
      <w:r>
        <w:rPr>
          <w:b w:val="false"/>
          <w:bCs w:val="false"/>
        </w:rPr>
        <w:t xml:space="preserve">Evidence of insurance (detailed certificate) must be provided prior to commencing Services and upon request. Certified copies of policies must be provided upon request.</w:t>
      </w:r>
    </w:p>
    <w:p>
      <w:r>
        <w:t xml:space="preserve"/>
      </w:r>
    </w:p>
    <w:p>
      <w:r>
        <w:rPr>
          <w:b/>
          <w:bCs/>
        </w:rPr>
        <w:t xml:space="preserve">How we comply:</w:t>
      </w:r>
    </w:p>
    <w:p>
      <w:r>
        <w:t xml:space="preserve"/>
      </w:r>
    </w:p>
    <w:p>
      <w:r>
        <w:rPr>
          <w:b w:val="false"/>
          <w:bCs w:val="false"/>
        </w:rPr>
        <w:t xml:space="preserve">| Coverage | Required | Current Status |</w:t>
      </w:r>
    </w:p>
    <w:p>
      <w:r>
        <w:rPr>
          <w:b w:val="false"/>
          <w:bCs w:val="false"/>
        </w:rPr>
        <w:t xml:space="preserve">|----------|----------|----------------|</w:t>
      </w:r>
    </w:p>
    <w:p>
      <w:r>
        <w:rPr>
          <w:b w:val="false"/>
          <w:bCs w:val="false"/>
        </w:rPr>
        <w:t xml:space="preserve">| CGL | $2,000,000 per occurrence | ✅ Confirmed — NimbleStride Inc. carries CGL at $2,000,000 per occurrence |</w:t>
      </w:r>
    </w:p>
    <w:p>
      <w:r>
        <w:rPr>
          <w:b w:val="false"/>
          <w:bCs w:val="false"/>
        </w:rPr>
        <w:t xml:space="preserve">| 30-day cancellation notice endorsement | Required | [PROVIDE: confirm this endorsement is on the current policy; obtain if not] |</w:t>
      </w:r>
    </w:p>
    <w:p>
      <w:r>
        <w:rPr>
          <w:b w:val="false"/>
          <w:bCs w:val="false"/>
        </w:rPr>
        <w:t xml:space="preserve">| Automobile Liability | $2,000,000 | [PROVIDE/CONFIRM: confirm whether any vehicles owned and licensed in NimbleStride Inc.'s name are used in performance of services; if yes, confirm coverage or arrange it] |</w:t>
      </w:r>
    </w:p>
    <w:p>
      <w:r>
        <w:rPr>
          <w:b w:val="false"/>
          <w:bCs w:val="false"/>
        </w:rPr>
        <w:t xml:space="preserve">| Professional Liability (E&amp;O) | $1,000,000 per claim, claims-made, 2-year tail | ⚠️ </w:t>
      </w:r>
      <w:r>
        <w:rPr>
          <w:b/>
          <w:bCs/>
        </w:rPr>
        <w:t xml:space="preserve">GAP — E&amp;O policy is not currently in place. This is a mandatory requirement. Arrange Professional Liability / E&amp;O coverage of at least $1,000,000 per claim before submitting or prior to contract execution.</w:t>
      </w:r>
      <w:r>
        <w:rPr>
          <w:b w:val="false"/>
          <w:bCs w:val="false"/>
        </w:rPr>
        <w:t xml:space="preserve"> |</w:t>
      </w:r>
    </w:p>
    <w:p>
      <w:r>
        <w:rPr>
          <w:b w:val="false"/>
          <w:bCs w:val="false"/>
        </w:rPr>
        <w:t xml:space="preserve">| Subconsultant insurance | Comparable to above | All associate consultants and subconsultants engaged on this project will be required, as a condition of engagement, to carry Commercial General Liability coverage at limits no less than those carried by NimbleStride Inc. ($2,000,000 per occurrence); certificates will be made available to ASHC upon request. |</w:t>
      </w:r>
    </w:p>
    <w:p>
      <w:r>
        <w:rPr>
          <w:b w:val="false"/>
          <w:bCs w:val="false"/>
        </w:rPr>
        <w:t xml:space="preserve">| Certificate of insurance | Required prior to commencement | [PROVIDE: insurer name, policy number(s), and certificate expiry date(s)] |</w:t>
      </w:r>
    </w:p>
    <w:p>
      <w:r>
        <w:t xml:space="preserve"/>
      </w:r>
    </w:p>
    <w:p>
      <w:r>
        <w:rPr>
          <w:b w:val="false"/>
          <w:bCs w:val="false"/>
        </w:rPr>
        <w:t xml:space="preserve">&gt; ⚠️ </w:t>
      </w:r>
      <w:r>
        <w:rPr>
          <w:b/>
          <w:bCs/>
        </w:rPr>
        <w:t xml:space="preserve">ACTION REQUIRED:</w:t>
      </w:r>
      <w:r>
        <w:rPr>
          <w:b w:val="false"/>
          <w:bCs w:val="false"/>
        </w:rPr>
        <w:t xml:space="preserve"> The absence of a Professional Liability (E&amp;O) policy is a mandatory contract requirement. Arrange this coverage before contract execution. Confirm with the insurer that the policy will remain in place for two years following contract completion or termination.</w:t>
      </w:r>
    </w:p>
    <w:p>
      <w:r>
        <w:t xml:space="preserve"/>
      </w:r>
    </w:p>
    <w:p>
      <w:r>
        <w:rPr>
          <w:b w:val="false"/>
          <w:bCs w:val="false"/>
        </w:rPr>
        <w:t xml:space="preserve">---</w:t>
      </w:r>
    </w:p>
    <w:p>
      <w:r>
        <w:t xml:space="preserve"/>
      </w:r>
    </w:p>
    <w:p>
      <w:pPr>
        <w:pStyle w:val="Heading2"/>
      </w:pPr>
      <w:r>
        <w:rPr>
          <w:b w:val="false"/>
          <w:bCs w:val="false"/>
        </w:rPr>
        <w:t xml:space="preserve">2.5 Experience Requirements — Representative Projects</w:t>
      </w:r>
    </w:p>
    <w:p>
      <w:r>
        <w:t xml:space="preserve"/>
      </w:r>
    </w:p>
    <w:p>
      <w:r>
        <w:rPr>
          <w:b/>
          <w:bCs/>
        </w:rPr>
        <w:t xml:space="preserve">Requirement [p.12]:</w:t>
      </w:r>
    </w:p>
    <w:p>
      <w:pPr>
        <w:pStyle w:val="ListParagraph"/>
        <w:numPr>
          <w:ilvl w:val="0"/>
          <w:numId w:val="1"/>
        </w:numPr>
      </w:pPr>
      <w:r>
        <w:rPr>
          <w:b w:val="false"/>
          <w:bCs w:val="false"/>
        </w:rPr>
        <w:t xml:space="preserve">Two (2) representative projects demonstrating experience designing enterprise digital products or platforms.</w:t>
      </w:r>
    </w:p>
    <w:p>
      <w:pPr>
        <w:pStyle w:val="ListParagraph"/>
        <w:numPr>
          <w:ilvl w:val="0"/>
          <w:numId w:val="1"/>
        </w:numPr>
      </w:pPr>
      <w:r>
        <w:rPr>
          <w:b w:val="false"/>
          <w:bCs w:val="false"/>
        </w:rPr>
        <w:t xml:space="preserve">Two (2) project examples demonstrating experience designing and delivering citizen-facing, partner-facing, and/or internal enterprise digital services.</w:t>
      </w:r>
    </w:p>
    <w:p>
      <w:r>
        <w:t xml:space="preserve"/>
      </w:r>
    </w:p>
    <w:p>
      <w:r>
        <w:rPr>
          <w:b/>
          <w:bCs/>
        </w:rPr>
        <w:t xml:space="preserve">How we comply:</w:t>
      </w:r>
      <w:r>
        <w:rPr>
          <w:b w:val="false"/>
          <w:bCs w:val="false"/>
        </w:rPr>
        <w:t xml:space="preserve"> See Section 5 — Relevant Experience &amp; References below.</w:t>
      </w:r>
    </w:p>
    <w:p>
      <w:r>
        <w:t xml:space="preserve"/>
      </w:r>
    </w:p>
    <w:p>
      <w:r>
        <w:rPr>
          <w:b w:val="false"/>
          <w:bCs w:val="false"/>
        </w:rPr>
        <w:t xml:space="preserve">&gt; ⚠️ </w:t>
      </w:r>
      <w:r>
        <w:rPr>
          <w:b/>
          <w:bCs/>
        </w:rPr>
        <w:t xml:space="preserve">NOTE:</w:t>
      </w:r>
      <w:r>
        <w:rPr>
          <w:b w:val="false"/>
          <w:bCs w:val="false"/>
        </w:rPr>
        <w:t xml:space="preserve"> The dossier describes NimbleStride's product portfolio (ClearBid, ClearBind, OSFI E-23 platform, GridWitness) and MGR Infotech's infrastructure work. These may serve as representative projects, but [PROVIDE: for each project cited — confirm the UX/Service Design role of the proposed resource specifically, client name, engagement dates, scope, and a reference contact. Projects must demonstrably involve UX, UI, or Service Design work, not solely software engineering or infrastructure delivery.]</w:t>
      </w:r>
    </w:p>
    <w:p>
      <w:r>
        <w:t xml:space="preserve"/>
      </w:r>
    </w:p>
    <w:p>
      <w:r>
        <w:rPr>
          <w:b w:val="false"/>
          <w:bCs w:val="false"/>
        </w:rPr>
        <w:t xml:space="preserve">---</w:t>
      </w:r>
    </w:p>
    <w:p>
      <w:r>
        <w:t xml:space="preserve"/>
      </w:r>
    </w:p>
    <w:p>
      <w:pPr>
        <w:pStyle w:val="Heading2"/>
      </w:pPr>
      <w:r>
        <w:rPr>
          <w:b w:val="false"/>
          <w:bCs w:val="false"/>
        </w:rPr>
        <w:t xml:space="preserve">2.6 References</w:t>
      </w:r>
    </w:p>
    <w:p>
      <w:r>
        <w:t xml:space="preserve"/>
      </w:r>
    </w:p>
    <w:p>
      <w:r>
        <w:rPr>
          <w:b/>
          <w:bCs/>
        </w:rPr>
        <w:t xml:space="preserve">Requirement [p.10]:</w:t>
      </w:r>
      <w:r>
        <w:rPr>
          <w:b w:val="false"/>
          <w:bCs w:val="false"/>
        </w:rPr>
        <w:t xml:space="preserve"> Minimum three (3) references for the proposed resource, submitted in Section 5 — Proposal Submission Form.</w:t>
      </w:r>
    </w:p>
    <w:p>
      <w:r>
        <w:t xml:space="preserve"/>
      </w:r>
    </w:p>
    <w:p>
      <w:r>
        <w:rPr>
          <w:b/>
          <w:bCs/>
        </w:rPr>
        <w:t xml:space="preserve">How we comply:</w:t>
      </w:r>
      <w:r>
        <w:rPr>
          <w:b w:val="false"/>
          <w:bCs w:val="false"/>
        </w:rPr>
        <w:t xml:space="preserve"> See Section 5 — Relevant Experience &amp; References. Two references are confirmed in the dossier; a third is required. [PROVIDE: third reference — see Section 5.]</w:t>
      </w:r>
    </w:p>
    <w:p>
      <w:r>
        <w:t xml:space="preserve"/>
      </w:r>
    </w:p>
    <w:p>
      <w:r>
        <w:rPr>
          <w:b w:val="false"/>
          <w:bCs w:val="false"/>
        </w:rPr>
        <w:t xml:space="preserve">---</w:t>
      </w:r>
    </w:p>
    <w:p>
      <w:r>
        <w:t xml:space="preserve"/>
      </w:r>
    </w:p>
    <w:p>
      <w:pPr>
        <w:pStyle w:val="Heading2"/>
      </w:pPr>
      <w:r>
        <w:rPr>
          <w:b w:val="false"/>
          <w:bCs w:val="false"/>
        </w:rPr>
        <w:t xml:space="preserve">2.7 Legal &amp; Governing Law</w:t>
      </w:r>
    </w:p>
    <w:p>
      <w:r>
        <w:t xml:space="preserve"/>
      </w:r>
    </w:p>
    <w:p>
      <w:r>
        <w:rPr>
          <w:b/>
          <w:bCs/>
        </w:rPr>
        <w:t xml:space="preserve">Requirement [p.25]:</w:t>
      </w:r>
      <w:r>
        <w:rPr>
          <w:b w:val="false"/>
          <w:bCs w:val="false"/>
        </w:rPr>
        <w:t xml:space="preserve"> This RFP shall be governed and interpreted in accordance with the laws in force in Alberta. The Consultant shall comply with all applicable laws.</w:t>
      </w:r>
    </w:p>
    <w:p>
      <w:r>
        <w:t xml:space="preserve"/>
      </w:r>
    </w:p>
    <w:p>
      <w:r>
        <w:rPr>
          <w:b/>
          <w:bCs/>
        </w:rPr>
        <w:t xml:space="preserve">How we comply:</w:t>
      </w:r>
      <w:r>
        <w:rPr>
          <w:b w:val="false"/>
          <w:bCs w:val="false"/>
        </w:rPr>
        <w:t xml:space="preserve"> NimbleStride Inc. accepts that this RFP and any resulting Contract are governed by the laws of Alberta. We commit to complying with all applicable federal and provincial laws, including but not limited to Alberta's *Protection of Personal Information Act* (PIPA), the *Access to Information and Protection of Privacy Act* (ATIPPA/ATIA), and all other legislation expressly or by implication applicable to this engagement.</w:t>
      </w:r>
    </w:p>
    <w:p>
      <w:r>
        <w:t xml:space="preserve"/>
      </w:r>
    </w:p>
    <w:p>
      <w:r>
        <w:rPr>
          <w:b w:val="false"/>
          <w:bCs w:val="false"/>
        </w:rPr>
        <w:t xml:space="preserve">---</w:t>
      </w:r>
    </w:p>
    <w:p>
      <w:r>
        <w:t xml:space="preserve"/>
      </w:r>
    </w:p>
    <w:p>
      <w:pPr>
        <w:pStyle w:val="Heading1"/>
      </w:pPr>
      <w:r>
        <w:rPr>
          <w:b w:val="false"/>
          <w:bCs w:val="false"/>
        </w:rPr>
        <w:t xml:space="preserve">Section 3 — Technical Approach</w:t>
      </w:r>
    </w:p>
    <w:p>
      <w:r>
        <w:t xml:space="preserve"/>
      </w:r>
    </w:p>
    <w:p>
      <w:r>
        <w:rPr>
          <w:b w:val="false"/>
          <w:bCs w:val="false"/>
        </w:rPr>
        <w:t xml:space="preserve">&gt; *This section provides outline headings only. Each heading must be completed by the human reviewer with specific, substantiated content before submission. Content must directly address the SOW requirements for the Senior Service &amp; UX Designer role.*</w:t>
      </w:r>
    </w:p>
    <w:p>
      <w:r>
        <w:t xml:space="preserve"/>
      </w:r>
    </w:p>
    <w:p>
      <w:r>
        <w:rPr>
          <w:b w:val="false"/>
          <w:bCs w:val="false"/>
        </w:rPr>
        <w:t xml:space="preserve">---</w:t>
      </w:r>
    </w:p>
    <w:p>
      <w:r>
        <w:t xml:space="preserve"/>
      </w:r>
    </w:p>
    <w:p>
      <w:pPr>
        <w:pStyle w:val="Heading2"/>
      </w:pPr>
      <w:r>
        <w:rPr>
          <w:b w:val="false"/>
          <w:bCs w:val="false"/>
        </w:rPr>
        <w:t xml:space="preserve">3.1 Understanding of the Engagement</w:t>
      </w:r>
    </w:p>
    <w:p>
      <w:r>
        <w:t xml:space="preserve"/>
      </w:r>
    </w:p>
    <w:p>
      <w:r>
        <w:rPr>
          <w:b w:val="false"/>
          <w:bCs w:val="false"/>
        </w:rPr>
        <w:t xml:space="preserve">[PROVIDE: summarize NimbleStride's understanding of ASHC's specific service design and UX needs as described in the RFP SOW — what problem is being solved, who the end users are (citizens, staff, partners), and what outcomes ASHC expects. Reference specific SOW language.]</w:t>
      </w:r>
    </w:p>
    <w:p>
      <w:r>
        <w:t xml:space="preserve"/>
      </w:r>
    </w:p>
    <w:p>
      <w:pPr>
        <w:pStyle w:val="Heading2"/>
      </w:pPr>
      <w:r>
        <w:rPr>
          <w:b w:val="false"/>
          <w:bCs w:val="false"/>
        </w:rPr>
        <w:t xml:space="preserve">3.2 Service Design Methodology</w:t>
      </w:r>
    </w:p>
    <w:p>
      <w:r>
        <w:t xml:space="preserve"/>
      </w:r>
    </w:p>
    <w:p>
      <w:r>
        <w:rPr>
          <w:b w:val="false"/>
          <w:bCs w:val="false"/>
        </w:rPr>
        <w:t xml:space="preserve">NimbleStride applies a human-centred Double Diamond design process — Discover, Define, Develop, Deliver — aligned with our Agile/SAFe delivery model. Mohammed Yousuf Shariff has applied design-thinking facilitation in enterprise program contexts at Intact Insurance and Servus Credit Union, leading structured discovery workshops to translate stakeholder needs into actionable product backlogs; on this engagement, the same approach will be used to ensure ASHC's service design outcomes are grounded in real user needs before any prototyping begins.</w:t>
      </w:r>
    </w:p>
    <w:p>
      <w:r>
        <w:t xml:space="preserve"/>
      </w:r>
    </w:p>
    <w:p>
      <w:pPr>
        <w:pStyle w:val="Heading2"/>
      </w:pPr>
      <w:r>
        <w:rPr>
          <w:b w:val="false"/>
          <w:bCs w:val="false"/>
        </w:rPr>
        <w:t xml:space="preserve">3.3 UX Research &amp; Discovery</w:t>
      </w:r>
    </w:p>
    <w:p>
      <w:r>
        <w:t xml:space="preserve"/>
      </w:r>
    </w:p>
    <w:p>
      <w:r>
        <w:rPr>
          <w:b w:val="false"/>
          <w:bCs w:val="false"/>
        </w:rPr>
        <w:t xml:space="preserve">User research will include semi-structured stakeholder interviews, contextual inquiry sessions with representative end users (applicants, staff, and partner agencies as identified in the SOW), journey mapping, and persona development; findings will be synthesized into an insight report reviewed and approved by ASHC before design work proceeds. Accessibility considerations — including users with disabilities and low digital literacy — will be embedded from the research phase, and all research sessions will be conducted in plain language with accommodations available on request.</w:t>
      </w:r>
    </w:p>
    <w:p>
      <w:r>
        <w:t xml:space="preserve"/>
      </w:r>
    </w:p>
    <w:p>
      <w:pPr>
        <w:pStyle w:val="Heading2"/>
      </w:pPr>
      <w:r>
        <w:rPr>
          <w:b w:val="false"/>
          <w:bCs w:val="false"/>
        </w:rPr>
        <w:t xml:space="preserve">3.4 Design &amp; Prototyping</w:t>
      </w:r>
    </w:p>
    <w:p>
      <w:r>
        <w:t xml:space="preserve"/>
      </w:r>
    </w:p>
    <w:p>
      <w:r>
        <w:rPr>
          <w:b w:val="false"/>
          <w:bCs w:val="false"/>
        </w:rPr>
        <w:t xml:space="preserve">NimbleStride uses Figma as the primary tool for wireframing and prototyping, progressing from low-fidelity sketches through mid-fidelity wireframes to interactive high-fidelity prototypes, with each fidelity level reviewed and formally approved by ASHC before advancing. WCAG 2.1 AA compliance is validated at every stage using automated tooling (Axe, Lighthouse) and manual testing with keyboard navigation and screen readers, and is a mandatory gate in the Definition of Done for all user-facing deliverables.</w:t>
      </w:r>
    </w:p>
    <w:p>
      <w:r>
        <w:t xml:space="preserve"/>
      </w:r>
    </w:p>
    <w:p>
      <w:r>
        <w:rPr>
          <w:b/>
          <w:bCs/>
        </w:rPr>
        <w:t xml:space="preserve">Accessibility Commitment:</w:t>
      </w:r>
      <w:r>
        <w:rPr>
          <w:b w:val="false"/>
          <w:bCs w:val="false"/>
        </w:rPr>
        <w:t xml:space="preserve"> All user-facing interfaces will be designed and tested to meet WCAG 2.1 AA, including keyboard navigation, screen-reader compatibility, sufficient colour contrast, and responsive layouts. Accessibility will be validated through automated tooling and manual testing as part of the Definition of Done.</w:t>
      </w:r>
    </w:p>
    <w:p>
      <w:r>
        <w:t xml:space="preserve"/>
      </w:r>
    </w:p>
    <w:p>
      <w:pPr>
        <w:pStyle w:val="Heading2"/>
      </w:pPr>
      <w:r>
        <w:rPr>
          <w:b w:val="false"/>
          <w:bCs w:val="false"/>
        </w:rPr>
        <w:t xml:space="preserve">3.5 Stakeholder Engagement &amp; Co-Design</w:t>
      </w:r>
    </w:p>
    <w:p>
      <w:r>
        <w:t xml:space="preserve"/>
      </w:r>
    </w:p>
    <w:p>
      <w:r>
        <w:rPr>
          <w:b w:val="false"/>
          <w:bCs w:val="false"/>
        </w:rPr>
        <w:t xml:space="preserve">NimbleStride engages ASHC stakeholders through structured discovery workshops at project kick-off to align on goals, user needs, and constraints, followed by co-design sessions with subject matter experts and end users at each major design milestone (concept, wireframe, prototype). Usability testing with representative users is conducted before finalizing each increment, with findings documented and fed back into the design backlog. A standing feedback loop — via shared design review sessions and a lightweight decision log — ensures ASHC has visibility and sign-off authority at every stage.</w:t>
      </w:r>
    </w:p>
    <w:p>
      <w:r>
        <w:t xml:space="preserve"/>
      </w:r>
    </w:p>
    <w:p>
      <w:pPr>
        <w:pStyle w:val="Heading2"/>
      </w:pPr>
      <w:r>
        <w:rPr>
          <w:b w:val="false"/>
          <w:bCs w:val="false"/>
        </w:rPr>
        <w:t xml:space="preserve">3.6 Delivery Methodology &amp; Governance</w:t>
      </w:r>
    </w:p>
    <w:p>
      <w:r>
        <w:t xml:space="preserve"/>
      </w:r>
    </w:p>
    <w:p>
      <w:r>
        <w:rPr>
          <w:b w:val="false"/>
          <w:bCs w:val="false"/>
        </w:rPr>
        <w:t xml:space="preserve">NimbleStride Inc. delivers using an Agile/SAFe-aligned iterative approach led by a SAFe Program Consultant (SPC 6), Certified Scrum Master, and PRINCE2 Practitioner with 17+ years of enterprise delivery experience. Work is broken into short increments with working deliverables demonstrated each cycle, a clear Definition of Done, quality gates, and transparent flow metrics, providing ASHC with honest visibility into progress and risks throughout.</w:t>
      </w:r>
    </w:p>
    <w:p>
      <w:r>
        <w:t xml:space="preserve"/>
      </w:r>
    </w:p>
    <w:p>
      <w:r>
        <w:rPr>
          <w:b w:val="false"/>
          <w:bCs w:val="false"/>
        </w:rPr>
        <w:t xml:space="preserve">Mohammed Yousuf Shariff will serve as Project Leader, interfacing directly with ASHC's project manager. Monthly written status reports will be provided as required, covering: services completed during the reporting period; time schedule for portions not yet completed; and any other information requested by ASHC.</w:t>
      </w:r>
    </w:p>
    <w:p>
      <w:r>
        <w:t xml:space="preserve"/>
      </w:r>
    </w:p>
    <w:p>
      <w:r>
        <w:rPr>
          <w:b w:val="false"/>
          <w:bCs w:val="false"/>
        </w:rPr>
        <w:t xml:space="preserve">NimbleStride proposes two-week sprints with a working demo and sprint review at the close of each cycle, giving ASHC a minimum of two formal progress touchpoints per month beyond any contractual monthly reporting requirement. In addition to sprint reviews, we provide a brief written status update (progress, risks, decisions needed) at the end of each sprint, and schedule a monthly steering touchpoint with ASHC's designated contract authority to review flow metrics, milestone status, and any scope or priority changes. Governance touchpoints — such as phase-gate approvals or design sign-offs — will be scheduled to align with the SOW milestones confirmed at project kick-off.</w:t>
      </w:r>
    </w:p>
    <w:p>
      <w:r>
        <w:t xml:space="preserve"/>
      </w:r>
    </w:p>
    <w:p>
      <w:pPr>
        <w:pStyle w:val="Heading2"/>
      </w:pPr>
      <w:r>
        <w:rPr>
          <w:b w:val="false"/>
          <w:bCs w:val="false"/>
        </w:rPr>
        <w:t xml:space="preserve">3.7 Quality Assurance</w:t>
      </w:r>
    </w:p>
    <w:p>
      <w:r>
        <w:t xml:space="preserve"/>
      </w:r>
    </w:p>
    <w:p>
      <w:r>
        <w:rPr>
          <w:b w:val="false"/>
          <w:bCs w:val="false"/>
        </w:rPr>
        <w:t xml:space="preserve">Quality is built in, not bolted on: structured design reviews, usability testing with real end users, accessibility testing, and explicit quality gates before any deliverable is considered complete. Each increment must meet an agreed Definition of Done prior to acceptance.</w:t>
      </w:r>
    </w:p>
    <w:p>
      <w:r>
        <w:t xml:space="preserve"/>
      </w:r>
    </w:p>
    <w:p>
      <w:r>
        <w:rPr>
          <w:b w:val="false"/>
          <w:bCs w:val="false"/>
        </w:rPr>
        <w:t xml:space="preserve">QA checkpoints are embedded at three levels: (1) a Definition of Done applied to every design deliverable, requiring peer review, accessibility validation (WCAG 2.1 AA), and ASHC sign-off before an artifact is considered complete; (2) structured usability testing sessions — moderated, with representative ASHC end users — conducted at wireframe and high-fidelity prototype stages, with findings documented in a usability test report and prioritized for remediation; and (3) a living design decision log that records each significant design choice, the rationale, the alternatives considered, and the ASHC stakeholder who approved it, providing a traceable audit trail against requirements throughout the engagement.</w:t>
      </w:r>
    </w:p>
    <w:p>
      <w:r>
        <w:t xml:space="preserve"/>
      </w:r>
    </w:p>
    <w:p>
      <w:pPr>
        <w:pStyle w:val="Heading2"/>
      </w:pPr>
      <w:r>
        <w:rPr>
          <w:b w:val="false"/>
          <w:bCs w:val="false"/>
        </w:rPr>
        <w:t xml:space="preserve">3.8 Data Security &amp; Privacy</w:t>
      </w:r>
    </w:p>
    <w:p>
      <w:r>
        <w:t xml:space="preserve"/>
      </w:r>
    </w:p>
    <w:p>
      <w:r>
        <w:rPr>
          <w:b w:val="false"/>
          <w:bCs w:val="false"/>
        </w:rPr>
        <w:t xml:space="preserve">All data will be hosted and processed in Canada on Canadian-region cloud infrastructure. Data will be encrypted at rest (AES-256) and in transit (TLS 1.2+), with role-based least-privilege access and full audit logging. NimbleStride Inc. will adhere to POPA and all applicable privacy obligations. Personal Information will be stored exclusively in Canada and will not be transferred outside Canada without explicit written authorization from ASHC.</w:t>
      </w:r>
    </w:p>
    <w:p>
      <w:r>
        <w:t xml:space="preserve"/>
      </w:r>
    </w:p>
    <w:p>
      <w:r>
        <w:rPr>
          <w:b w:val="false"/>
          <w:bCs w:val="false"/>
        </w:rPr>
        <w:t xml:space="preserve">NimbleStride's standard data-security posture (AES-256 at rest, TLS 1.2+ in transit, role-based least-privilege access, full audit logging, in-Canada hosting) is designed to meet Protected A requirements; however, we require ASHC to confirm the classification level (Protected A, Protected B, or other) applicable to this engagement and to provide the Security Requirements Checklist (SRC) or equivalent so that specific control attestations can be completed and signed prior to contract execution.</w:t>
      </w:r>
    </w:p>
    <w:p>
      <w:r>
        <w:t xml:space="preserve"/>
      </w:r>
    </w:p>
    <w:p>
      <w:pPr>
        <w:pStyle w:val="Heading2"/>
      </w:pPr>
      <w:r>
        <w:rPr>
          <w:b w:val="false"/>
          <w:bCs w:val="false"/>
        </w:rPr>
        <w:t xml:space="preserve">3.9 Knowledge Transfer &amp; Transition</w:t>
      </w:r>
    </w:p>
    <w:p>
      <w:r>
        <w:t xml:space="preserve"/>
      </w:r>
    </w:p>
    <w:p>
      <w:r>
        <w:rPr>
          <w:b w:val="false"/>
          <w:bCs w:val="false"/>
        </w:rPr>
        <w:t xml:space="preserve">At engagement close, NimbleStride delivers a structured knowledge-transfer package including: (1) full source files and a documented design system (components, tokens, usage guidelines) handed over in ASHC's preferred format (e.g., Figma, Storybook); (2) a design rationale and decision log summarizing key choices and their alignment to ASHC requirements; (3) annotated prototypes and user-research findings archived in a shared repository; and (4) a minimum of two live handover sessions with ASHC staff — one focused on the design system and assets, one on research findings and future iteration guidance — with recordings provided for reference. All documentation is written to a standard that allows ASHC or a successor vendor to continue development without dependency on NimbleStride.</w:t>
      </w:r>
    </w:p>
    <w:p>
      <w:r>
        <w:t xml:space="preserve"/>
      </w:r>
    </w:p>
    <w:p>
      <w:pPr>
        <w:pStyle w:val="Heading2"/>
      </w:pPr>
      <w:r>
        <w:rPr>
          <w:b w:val="false"/>
          <w:bCs w:val="false"/>
        </w:rPr>
        <w:t xml:space="preserve">3.10 Work Location &amp; Hours</w:t>
      </w:r>
    </w:p>
    <w:p>
      <w:r>
        <w:t xml:space="preserve"/>
      </w:r>
    </w:p>
    <w:p>
      <w:r>
        <w:rPr>
          <w:b w:val="false"/>
          <w:bCs w:val="false"/>
        </w:rPr>
        <w:t xml:space="preserve">Mohammed Yousuf Shariff resides in Chestermere, Alberta, Canada. All work will be performed within Canada during regular business hours. NimbleStride's primary working arrangement for this engagement is remote, with the principal and associates working from Alberta (Chestermere, AB). We are available for on-site sessions at ASHC's Edmonton or Calgary offices for key milestones — kick-off, co-design workshops, usability testing, and final handover — and will accommodate any on-site requirements specified in the SOW; travel and accommodation costs for such sessions would be confirmed and agreed in the contract.</w:t>
      </w:r>
    </w:p>
    <w:p>
      <w:r>
        <w:t xml:space="preserve"/>
      </w:r>
    </w:p>
    <w:p>
      <w:r>
        <w:rPr>
          <w:b w:val="false"/>
          <w:bCs w:val="false"/>
        </w:rPr>
        <w:t xml:space="preserve">---</w:t>
      </w:r>
    </w:p>
    <w:p>
      <w:r>
        <w:t xml:space="preserve"/>
      </w:r>
    </w:p>
    <w:p>
      <w:pPr>
        <w:pStyle w:val="Heading1"/>
      </w:pPr>
      <w:r>
        <w:rPr>
          <w:b w:val="false"/>
          <w:bCs w:val="false"/>
        </w:rPr>
        <w:t xml:space="preserve">Section 4 — Key Personnel</w:t>
      </w:r>
    </w:p>
    <w:p>
      <w:r>
        <w:t xml:space="preserve"/>
      </w:r>
    </w:p>
    <w:p>
      <w:r>
        <w:rPr>
          <w:b w:val="false"/>
          <w:bCs w:val="false"/>
        </w:rPr>
        <w:t xml:space="preserve">&gt; *This section provides the structured profile of the proposed resource. The resume must be attached separately (excluded from the 20-page limit).*</w:t>
      </w:r>
    </w:p>
    <w:p>
      <w:r>
        <w:t xml:space="preserve"/>
      </w:r>
    </w:p>
    <w:p>
      <w:r>
        <w:rPr>
          <w:b w:val="false"/>
          <w:bCs w:val="false"/>
        </w:rPr>
        <w:t xml:space="preserve">---</w:t>
      </w:r>
    </w:p>
    <w:p>
      <w:r>
        <w:t xml:space="preserve"/>
      </w:r>
    </w:p>
    <w:p>
      <w:pPr>
        <w:pStyle w:val="Heading2"/>
      </w:pPr>
      <w:r>
        <w:rPr>
          <w:b w:val="false"/>
          <w:bCs w:val="false"/>
        </w:rPr>
        <w:t xml:space="preserve">4.1 Proposed Resource</w:t>
      </w:r>
    </w:p>
    <w:p>
      <w:r>
        <w:t xml:space="preserve"/>
      </w:r>
    </w:p>
    <w:p>
      <w:r>
        <w:rPr>
          <w:b/>
          <w:bCs/>
        </w:rPr>
        <w:t xml:space="preserve">Name:</w:t>
      </w:r>
      <w:r>
        <w:rPr>
          <w:b w:val="false"/>
          <w:bCs w:val="false"/>
        </w:rPr>
        <w:t xml:space="preserve"> Mohammed Yousuf Shariff</w:t>
      </w:r>
    </w:p>
    <w:p>
      <w:r>
        <w:rPr>
          <w:b/>
          <w:bCs/>
        </w:rPr>
        <w:t xml:space="preserve">Role:</w:t>
      </w:r>
      <w:r>
        <w:rPr>
          <w:b w:val="false"/>
          <w:bCs w:val="false"/>
        </w:rPr>
        <w:t xml:space="preserve"> Senior Service &amp; UX Designer Consultant / Project Leader</w:t>
      </w:r>
    </w:p>
    <w:p>
      <w:r>
        <w:rPr>
          <w:b/>
          <w:bCs/>
        </w:rPr>
        <w:t xml:space="preserve">Organization:</w:t>
      </w:r>
      <w:r>
        <w:rPr>
          <w:b w:val="false"/>
          <w:bCs w:val="false"/>
        </w:rPr>
        <w:t xml:space="preserve"> NimbleStride Inc. / MGR Infotech</w:t>
      </w:r>
    </w:p>
    <w:p>
      <w:r>
        <w:rPr>
          <w:b/>
          <w:bCs/>
        </w:rPr>
        <w:t xml:space="preserve">Location:</w:t>
      </w:r>
      <w:r>
        <w:rPr>
          <w:b w:val="false"/>
          <w:bCs w:val="false"/>
        </w:rPr>
        <w:t xml:space="preserve"> Chestermere, Alberta, Canada</w:t>
      </w:r>
    </w:p>
    <w:p>
      <w:r>
        <w:t xml:space="preserve"/>
      </w:r>
    </w:p>
    <w:p>
      <w:pPr>
        <w:pStyle w:val="Heading2"/>
      </w:pPr>
      <w:r>
        <w:rPr>
          <w:b w:val="false"/>
          <w:bCs w:val="false"/>
        </w:rPr>
        <w:t xml:space="preserve">4.2 Qualifications Summary</w:t>
      </w:r>
    </w:p>
    <w:p>
      <w:r>
        <w:t xml:space="preserve"/>
      </w:r>
    </w:p>
    <w:p>
      <w:r>
        <w:rPr>
          <w:b w:val="false"/>
          <w:bCs w:val="false"/>
        </w:rPr>
        <w:t xml:space="preserve">Mohammed Yousuf Shariff serves as Principal and Delivery Lead for NimbleStride Inc. and MGR Infotech. He brings </w:t>
      </w:r>
      <w:r>
        <w:rPr>
          <w:b/>
          <w:bCs/>
        </w:rPr>
        <w:t xml:space="preserve">17+ years</w:t>
      </w:r>
      <w:r>
        <w:rPr>
          <w:b w:val="false"/>
          <w:bCs w:val="false"/>
        </w:rPr>
        <w:t xml:space="preserve"> of experience spanning software development, IT operations, and program delivery.</w:t>
      </w:r>
    </w:p>
    <w:p>
      <w:r>
        <w:t xml:space="preserve"/>
      </w:r>
    </w:p>
    <w:p>
      <w:r>
        <w:rPr>
          <w:b/>
          <w:bCs/>
        </w:rPr>
        <w:t xml:space="preserve">Technical expertise includes:</w:t>
      </w:r>
    </w:p>
    <w:p>
      <w:pPr>
        <w:pStyle w:val="ListParagraph"/>
        <w:numPr>
          <w:ilvl w:val="0"/>
          <w:numId w:val="1"/>
        </w:numPr>
      </w:pPr>
      <w:r>
        <w:rPr>
          <w:b w:val="false"/>
          <w:bCs w:val="false"/>
        </w:rPr>
        <w:t xml:space="preserve">Hands-on design and delivery of production digital platforms: ClearBid (public-sector compliance AI), ClearBind (AI InsurTech), OSFI E-23 Model Risk Management Platform (for Canadian federally regulated financial institutions), and GridWitness (energy/carbon data platform)</w:t>
      </w:r>
    </w:p>
    <w:p>
      <w:pPr>
        <w:pStyle w:val="ListParagraph"/>
        <w:numPr>
          <w:ilvl w:val="0"/>
          <w:numId w:val="1"/>
        </w:numPr>
      </w:pPr>
      <w:r>
        <w:rPr>
          <w:b w:val="false"/>
          <w:bCs w:val="false"/>
        </w:rPr>
        <w:t xml:space="preserve">Technology stack: TypeScript, Python, Next.js/React, Node.js, Terraform, AI/LLM integration</w:t>
      </w:r>
    </w:p>
    <w:p>
      <w:pPr>
        <w:pStyle w:val="ListParagraph"/>
        <w:numPr>
          <w:ilvl w:val="0"/>
          <w:numId w:val="1"/>
        </w:numPr>
      </w:pPr>
      <w:r>
        <w:rPr>
          <w:b w:val="false"/>
          <w:bCs w:val="false"/>
        </w:rPr>
        <w:t xml:space="preserve">All platforms deployed on Canadian-region cloud infrastructure</w:t>
      </w:r>
    </w:p>
    <w:p>
      <w:r>
        <w:t xml:space="preserve"/>
      </w:r>
    </w:p>
    <w:p>
      <w:r>
        <w:rPr>
          <w:b/>
          <w:bCs/>
        </w:rPr>
        <w:t xml:space="preserve">Delivery leadership:</w:t>
      </w:r>
    </w:p>
    <w:p>
      <w:pPr>
        <w:pStyle w:val="ListParagraph"/>
        <w:numPr>
          <w:ilvl w:val="0"/>
          <w:numId w:val="1"/>
        </w:numPr>
      </w:pPr>
      <w:r>
        <w:rPr>
          <w:b w:val="false"/>
          <w:bCs w:val="false"/>
        </w:rPr>
        <w:t xml:space="preserve">9+ years of scaled Agile delivery leadership as Release Train Engineer and Scrum Master</w:t>
      </w:r>
    </w:p>
    <w:p>
      <w:pPr>
        <w:pStyle w:val="ListParagraph"/>
        <w:numPr>
          <w:ilvl w:val="0"/>
          <w:numId w:val="1"/>
        </w:numPr>
      </w:pPr>
      <w:r>
        <w:rPr>
          <w:b w:val="false"/>
          <w:bCs w:val="false"/>
        </w:rPr>
        <w:t xml:space="preserve">Certifications: SAFe SPC 6, Certified Scrum Master (CSM), PRINCE2 Practitioner, ITIL</w:t>
      </w:r>
    </w:p>
    <w:p>
      <w:pPr>
        <w:pStyle w:val="ListParagraph"/>
        <w:numPr>
          <w:ilvl w:val="0"/>
          <w:numId w:val="1"/>
        </w:numPr>
      </w:pPr>
      <w:r>
        <w:rPr>
          <w:b w:val="false"/>
          <w:bCs w:val="false"/>
        </w:rPr>
        <w:t xml:space="preserve">Enterprise delivery at: Northbridge Insurance, Intact Insurance, CIBC, Servus Credit Union, AT&amp;T</w:t>
      </w:r>
    </w:p>
    <w:p>
      <w:pPr>
        <w:pStyle w:val="ListParagraph"/>
        <w:numPr>
          <w:ilvl w:val="0"/>
          <w:numId w:val="1"/>
        </w:numPr>
      </w:pPr>
      <w:r>
        <w:rPr>
          <w:b w:val="false"/>
          <w:bCs w:val="false"/>
        </w:rPr>
        <w:t xml:space="preserve">Earlier experience: presales and solutioning for SapphireIMS (ITOM/ITSM data-centre management product)</w:t>
      </w:r>
    </w:p>
    <w:p>
      <w:r>
        <w:t xml:space="preserve"/>
      </w:r>
    </w:p>
    <w:p>
      <w:r>
        <w:rPr>
          <w:b/>
          <w:bCs/>
        </w:rPr>
        <w:t xml:space="preserve">Education:</w:t>
      </w:r>
      <w:r>
        <w:rPr>
          <w:b w:val="false"/>
          <w:bCs w:val="false"/>
        </w:rPr>
        <w:t xml:space="preserve"> B.Tech, Electrical &amp; Electronics Engineering</w:t>
      </w:r>
    </w:p>
    <w:p>
      <w:r>
        <w:t xml:space="preserve"/>
      </w:r>
    </w:p>
    <w:p>
      <w:r>
        <w:rPr>
          <w:b w:val="false"/>
          <w:bCs w:val="false"/>
        </w:rPr>
        <w:t xml:space="preserve">This gap requires verifiable, project-specific UX/UI/Service Design credentials — named projects with dates, deliverables, and certifications — that are not present in the company facts. Before submitting, document: (1) specific UX/UI project names, roles, dates, and deliverables demonstrating 10+ years of progressive UX/Service Design work; (2) government/public-sector digital transformation projects demonstrating 5+ years; (3) any UX-specific certifications held (e.g., Nielsen Norman Group, IDF, Google UX); and (4) confirmed availability percentage and proposed start date for the named resource.</w:t>
      </w:r>
    </w:p>
    <w:p>
      <w:r>
        <w:t xml:space="preserve"/>
      </w:r>
    </w:p>
    <w:p>
      <w:pPr>
        <w:pStyle w:val="Heading2"/>
      </w:pPr>
      <w:r>
        <w:rPr>
          <w:b w:val="false"/>
          <w:bCs w:val="false"/>
        </w:rPr>
        <w:t xml:space="preserve">4.3 Résumé</w:t>
      </w:r>
    </w:p>
    <w:p>
      <w:r>
        <w:t xml:space="preserve"/>
      </w:r>
    </w:p>
    <w:p>
      <w:r>
        <w:rPr>
          <w:b w:val="false"/>
          <w:bCs w:val="false"/>
        </w:rPr>
        <w:t xml:space="preserve">A current résumé for Mohammed Yousuf Shariff must be prepared and attached as a separate document within Package One, formatted to any template specified in the RFP (the résumé is excluded from the 20-page proposal limit). The résumé should be drawn from the key-personnel narrative in the company facts and expanded with dates, deliverables, and any additional detail required by the RFP template.</w:t>
      </w:r>
    </w:p>
    <w:p>
      <w:r>
        <w:t xml:space="preserve"/>
      </w:r>
    </w:p>
    <w:p>
      <w:r>
        <w:rPr>
          <w:b w:val="false"/>
          <w:bCs w:val="false"/>
        </w:rPr>
        <w:t xml:space="preserve">---</w:t>
      </w:r>
    </w:p>
    <w:p>
      <w:r>
        <w:t xml:space="preserve"/>
      </w:r>
    </w:p>
    <w:p>
      <w:pPr>
        <w:pStyle w:val="Heading1"/>
      </w:pPr>
      <w:r>
        <w:rPr>
          <w:b w:val="false"/>
          <w:bCs w:val="false"/>
        </w:rPr>
        <w:t xml:space="preserve">Section 5 — Relevant Experience &amp; References</w:t>
      </w:r>
    </w:p>
    <w:p>
      <w:r>
        <w:t xml:space="preserve"/>
      </w:r>
    </w:p>
    <w:p>
      <w:r>
        <w:rPr>
          <w:b w:val="false"/>
          <w:bCs w:val="false"/>
        </w:rPr>
        <w:t xml:space="preserve">&gt; *This section addresses mandatory requirements for representative projects [p.12] and minimum three references [p.10].*</w:t>
      </w:r>
    </w:p>
    <w:p>
      <w:r>
        <w:t xml:space="preserve"/>
      </w:r>
    </w:p>
    <w:p>
      <w:r>
        <w:rPr>
          <w:b w:val="false"/>
          <w:bCs w:val="false"/>
        </w:rPr>
        <w:t xml:space="preserve">---</w:t>
      </w:r>
    </w:p>
    <w:p>
      <w:r>
        <w:t xml:space="preserve"/>
      </w:r>
    </w:p>
    <w:p>
      <w:pPr>
        <w:pStyle w:val="Heading2"/>
      </w:pPr>
      <w:r>
        <w:rPr>
          <w:b w:val="false"/>
          <w:bCs w:val="false"/>
        </w:rPr>
        <w:t xml:space="preserve">5.1 Representative Project 1 — Enterprise Digital Product Design</w:t>
      </w:r>
    </w:p>
    <w:p>
      <w:r>
        <w:t xml:space="preserve"/>
      </w:r>
    </w:p>
    <w:p>
      <w:r>
        <w:rPr>
          <w:b/>
          <w:bCs/>
        </w:rPr>
        <w:t xml:space="preserve">Project:</w:t>
      </w:r>
      <w:r>
        <w:rPr>
          <w:b w:val="false"/>
          <w:bCs w:val="false"/>
        </w:rPr>
        <w:t xml:space="preserve"> ClearBid — Canadian Public-Sector Compliance-Screening AI Platform</w:t>
      </w:r>
    </w:p>
    <w:p>
      <w:r>
        <w:rPr>
          <w:b/>
          <w:bCs/>
        </w:rPr>
        <w:t xml:space="preserve">Organization:</w:t>
      </w:r>
      <w:r>
        <w:rPr>
          <w:b w:val="false"/>
          <w:bCs w:val="false"/>
        </w:rPr>
        <w:t xml:space="preserve"> NimbleStride Inc.</w:t>
      </w:r>
    </w:p>
    <w:p>
      <w:r>
        <w:rPr>
          <w:b/>
          <w:bCs/>
        </w:rPr>
        <w:t xml:space="preserve">Role of Proposed Resource:</w:t>
      </w:r>
      <w:r>
        <w:rPr>
          <w:b w:val="false"/>
          <w:bCs w:val="false"/>
        </w:rPr>
        <w:t xml:space="preserve"> Principal Designer and Developer</w:t>
      </w:r>
    </w:p>
    <w:p>
      <w:r>
        <w:rPr>
          <w:b/>
          <w:bCs/>
        </w:rPr>
        <w:t xml:space="preserve">Description:</w:t>
      </w:r>
      <w:r>
        <w:rPr>
          <w:b w:val="false"/>
          <w:bCs w:val="false"/>
        </w:rPr>
        <w:t xml:space="preserve"> ClearBid is a production-grade AI platform designed to support compliance screening in Canadian public-sector procurement contexts. The platform was designed and built end-to-end by Mohammed Yousuf Shariff, encompassing requirements definition, user experience design, architecture, and delivery using TypeScript, Python, Next.js/React, Node.js, and Terraform, deployed on Canadian-region cloud infrastructure.</w:t>
      </w:r>
    </w:p>
    <w:p>
      <w:r>
        <w:t xml:space="preserve"/>
      </w:r>
    </w:p>
    <w:p>
      <w:r>
        <w:rPr>
          <w:b w:val="false"/>
          <w:bCs w:val="false"/>
        </w:rPr>
        <w:t xml:space="preserve">The ClearBid platform is an internal NimbleStride Inc. product; however, specific UX/Service Design deliverables, engagement dates, contract value, and a reference contact for this or any external client project must be confirmed and documented before this gap can be completed for formal submission.</w:t>
      </w:r>
    </w:p>
    <w:p>
      <w:r>
        <w:t xml:space="preserve"/>
      </w:r>
    </w:p>
    <w:p>
      <w:r>
        <w:rPr>
          <w:b w:val="false"/>
          <w:bCs w:val="false"/>
        </w:rPr>
        <w:t xml:space="preserve">---</w:t>
      </w:r>
    </w:p>
    <w:p>
      <w:r>
        <w:t xml:space="preserve"/>
      </w:r>
    </w:p>
    <w:p>
      <w:pPr>
        <w:pStyle w:val="Heading2"/>
      </w:pPr>
      <w:r>
        <w:rPr>
          <w:b w:val="false"/>
          <w:bCs w:val="false"/>
        </w:rPr>
        <w:t xml:space="preserve">5.2 Representative Project 2 — Enterprise Digital Product Design</w:t>
      </w:r>
    </w:p>
    <w:p>
      <w:r>
        <w:t xml:space="preserve"/>
      </w:r>
    </w:p>
    <w:p>
      <w:r>
        <w:rPr>
          <w:b/>
          <w:bCs/>
        </w:rPr>
        <w:t xml:space="preserve">Project:</w:t>
      </w:r>
      <w:r>
        <w:rPr>
          <w:b w:val="false"/>
          <w:bCs w:val="false"/>
        </w:rPr>
        <w:t xml:space="preserve"> OSFI E-23 Model Risk Management Platform</w:t>
      </w:r>
    </w:p>
    <w:p>
      <w:r>
        <w:rPr>
          <w:b/>
          <w:bCs/>
        </w:rPr>
        <w:t xml:space="preserve">Organization:</w:t>
      </w:r>
      <w:r>
        <w:rPr>
          <w:b w:val="false"/>
          <w:bCs w:val="false"/>
        </w:rPr>
        <w:t xml:space="preserve"> NimbleStride Inc.</w:t>
      </w:r>
    </w:p>
    <w:p>
      <w:r>
        <w:rPr>
          <w:b/>
          <w:bCs/>
        </w:rPr>
        <w:t xml:space="preserve">Role of Proposed Resource:</w:t>
      </w:r>
      <w:r>
        <w:rPr>
          <w:b w:val="false"/>
          <w:bCs w:val="false"/>
        </w:rPr>
        <w:t xml:space="preserve"> Principal Designer and Developer</w:t>
      </w:r>
    </w:p>
    <w:p>
      <w:r>
        <w:rPr>
          <w:b/>
          <w:bCs/>
        </w:rPr>
        <w:t xml:space="preserve">Description:</w:t>
      </w:r>
      <w:r>
        <w:rPr>
          <w:b w:val="false"/>
          <w:bCs w:val="false"/>
        </w:rPr>
        <w:t xml:space="preserve"> A regulatory compliance platform built for a Canadian federally regulated financial institution (FRFI) to meet OSFI E-23 model risk management guidelines. The platform was designed and delivered by Mohammed Yousuf Shariff, meeting stringent regulatory and data-governance requirements in a complex enterprise environment.</w:t>
      </w:r>
    </w:p>
    <w:p>
      <w:r>
        <w:t xml:space="preserve"/>
      </w:r>
    </w:p>
    <w:p>
      <w:r>
        <w:rPr>
          <w:b w:val="false"/>
          <w:bCs w:val="false"/>
        </w:rPr>
        <w:t xml:space="preserve">Specific client name (or confirmed confidentiality), engagement dates, contract value, UX/Service Design deliverables produced, and a reference contact (name, title, organization, phone, email) for this project reference must be provided before this gap can be completed for formal submission.</w:t>
      </w:r>
    </w:p>
    <w:p>
      <w:r>
        <w:t xml:space="preserve"/>
      </w:r>
    </w:p>
    <w:p>
      <w:r>
        <w:rPr>
          <w:b w:val="false"/>
          <w:bCs w:val="false"/>
        </w:rPr>
        <w:t xml:space="preserve">---</w:t>
      </w:r>
    </w:p>
    <w:p>
      <w:r>
        <w:t xml:space="preserve"/>
      </w:r>
    </w:p>
    <w:p>
      <w:pPr>
        <w:pStyle w:val="Heading2"/>
      </w:pPr>
      <w:r>
        <w:rPr>
          <w:b w:val="false"/>
          <w:bCs w:val="false"/>
        </w:rPr>
        <w:t xml:space="preserve">5.3 Representative Project 3 — Digital Service Design (Citizen/Partner/Enterprise-Facing)</w:t>
      </w:r>
    </w:p>
    <w:p>
      <w:r>
        <w:t xml:space="preserve"/>
      </w:r>
    </w:p>
    <w:p>
      <w:r>
        <w:rPr>
          <w:b w:val="false"/>
          <w:bCs w:val="false"/>
        </w:rPr>
        <w:t xml:space="preserve">A specific project example demonstrating citizen-facing, partner-facing, or internal enterprise digital service design experience — including project name, client organization, engagement dates, the proposed resource's role, service design deliverables produced, and a reference contact — must be provided before this gap can be completed for formal submission.</w:t>
      </w:r>
    </w:p>
    <w:p>
      <w:r>
        <w:t xml:space="preserve"/>
      </w:r>
    </w:p>
    <w:p>
      <w:r>
        <w:rPr>
          <w:b w:val="false"/>
          <w:bCs w:val="false"/>
        </w:rPr>
        <w:t xml:space="preserve">---</w:t>
      </w:r>
    </w:p>
    <w:p>
      <w:r>
        <w:t xml:space="preserve"/>
      </w:r>
    </w:p>
    <w:p>
      <w:pPr>
        <w:pStyle w:val="Heading2"/>
      </w:pPr>
      <w:r>
        <w:rPr>
          <w:b w:val="false"/>
          <w:bCs w:val="false"/>
        </w:rPr>
        <w:t xml:space="preserve">5.4 Representative Project 4 — Digital Service Design (Citizen/Partner/Enterprise-Facing)</w:t>
      </w:r>
    </w:p>
    <w:p>
      <w:r>
        <w:t xml:space="preserve"/>
      </w:r>
    </w:p>
    <w:p>
      <w:r>
        <w:rPr>
          <w:b w:val="false"/>
          <w:bCs w:val="false"/>
        </w:rPr>
        <w:t xml:space="preserve">A second distinct project example demonstrating citizen-facing, partner-facing, or internal enterprise digital service design experience — including project name, client organization, engagement dates, the proposed resource's role, service design deliverables produced, and a reference contact — must be provided before this gap can be completed for formal submission.</w:t>
      </w:r>
    </w:p>
    <w:p>
      <w:r>
        <w:t xml:space="preserve"/>
      </w:r>
    </w:p>
    <w:p>
      <w:r>
        <w:rPr>
          <w:b w:val="false"/>
          <w:bCs w:val="false"/>
        </w:rPr>
        <w:t xml:space="preserve">&gt; </w:t>
      </w:r>
      <w:r>
        <w:rPr>
          <w:b/>
          <w:bCs/>
        </w:rPr>
        <w:t xml:space="preserve">NOTE:</w:t>
      </w:r>
      <w:r>
        <w:rPr>
          <w:b w:val="false"/>
          <w:bCs w:val="false"/>
        </w:rPr>
        <w:t xml:space="preserve"> If any of the projects in 5.1–5.4 overlap (i.e., the same project satisfies both the "enterprise digital product" and "digital service design" requirements), confirm this is acceptable under the RFP's evaluation criteria, or provide four distinct project examples.</w:t>
      </w:r>
    </w:p>
    <w:p>
      <w:r>
        <w:t xml:space="preserve"/>
      </w:r>
    </w:p>
    <w:p>
      <w:r>
        <w:rPr>
          <w:b w:val="false"/>
          <w:bCs w:val="false"/>
        </w:rPr>
        <w:t xml:space="preserve">---</w:t>
      </w:r>
    </w:p>
    <w:p>
      <w:r>
        <w:t xml:space="preserve"/>
      </w:r>
    </w:p>
    <w:p>
      <w:pPr>
        <w:pStyle w:val="Heading2"/>
      </w:pPr>
      <w:r>
        <w:rPr>
          <w:b w:val="false"/>
          <w:bCs w:val="false"/>
        </w:rPr>
        <w:t xml:space="preserve">5.5 References</w:t>
      </w:r>
    </w:p>
    <w:p>
      <w:r>
        <w:t xml:space="preserve"/>
      </w:r>
    </w:p>
    <w:p>
      <w:r>
        <w:rPr>
          <w:b w:val="false"/>
          <w:bCs w:val="false"/>
        </w:rPr>
        <w:t xml:space="preserve">&gt; </w:t>
      </w:r>
      <w:r>
        <w:rPr>
          <w:b/>
          <w:bCs/>
        </w:rPr>
        <w:t xml:space="preserve">Mandatory: Minimum three (3) references for the proposed resource [p.10]. References must be submitted in Section 5 — Proposal Submission Form.</w:t>
      </w:r>
    </w:p>
    <w:p>
      <w:r>
        <w:t xml:space="preserve"/>
      </w:r>
    </w:p>
    <w:p>
      <w:r>
        <w:rPr>
          <w:b/>
          <w:bCs/>
        </w:rPr>
        <w:t xml:space="preserve">Reference 1</w:t>
      </w:r>
    </w:p>
    <w:p>
      <w:pPr>
        <w:pStyle w:val="ListParagraph"/>
        <w:numPr>
          <w:ilvl w:val="0"/>
          <w:numId w:val="1"/>
        </w:numPr>
      </w:pPr>
      <w:r>
        <w:rPr>
          <w:b/>
          <w:bCs/>
        </w:rPr>
        <w:t xml:space="preserve">Name:</w:t>
      </w:r>
      <w:r>
        <w:rPr>
          <w:b w:val="false"/>
          <w:bCs w:val="false"/>
        </w:rPr>
        <w:t xml:space="preserve"> Deb Dash</w:t>
      </w:r>
    </w:p>
    <w:p>
      <w:pPr>
        <w:pStyle w:val="ListParagraph"/>
        <w:numPr>
          <w:ilvl w:val="0"/>
          <w:numId w:val="1"/>
        </w:numPr>
      </w:pPr>
      <w:r>
        <w:rPr>
          <w:b/>
          <w:bCs/>
        </w:rPr>
        <w:t xml:space="preserve">Title:</w:t>
      </w:r>
      <w:r>
        <w:rPr>
          <w:b w:val="false"/>
          <w:bCs w:val="false"/>
        </w:rPr>
        <w:t xml:space="preserve"> Director – IT Development</w:t>
      </w:r>
    </w:p>
    <w:p>
      <w:pPr>
        <w:pStyle w:val="ListParagraph"/>
        <w:numPr>
          <w:ilvl w:val="0"/>
          <w:numId w:val="1"/>
        </w:numPr>
      </w:pPr>
      <w:r>
        <w:rPr>
          <w:b/>
          <w:bCs/>
        </w:rPr>
        <w:t xml:space="preserve">Organization:</w:t>
      </w:r>
      <w:r>
        <w:rPr>
          <w:b w:val="false"/>
          <w:bCs w:val="false"/>
        </w:rPr>
        <w:t xml:space="preserve"> Intact Insurance</w:t>
      </w:r>
    </w:p>
    <w:p>
      <w:pPr>
        <w:pStyle w:val="ListParagraph"/>
        <w:numPr>
          <w:ilvl w:val="0"/>
          <w:numId w:val="1"/>
        </w:numPr>
      </w:pPr>
      <w:r>
        <w:rPr>
          <w:b/>
          <w:bCs/>
        </w:rPr>
        <w:t xml:space="preserve">Phone:</w:t>
      </w:r>
      <w:r>
        <w:rPr>
          <w:b w:val="false"/>
          <w:bCs w:val="false"/>
        </w:rPr>
        <w:t xml:space="preserve"> +1 416-788-4347</w:t>
      </w:r>
    </w:p>
    <w:p>
      <w:pPr>
        <w:pStyle w:val="ListParagraph"/>
        <w:numPr>
          <w:ilvl w:val="0"/>
          <w:numId w:val="1"/>
        </w:numPr>
      </w:pPr>
      <w:r>
        <w:rPr>
          <w:b/>
          <w:bCs/>
        </w:rPr>
        <w:t xml:space="preserve">Email:</w:t>
      </w:r>
      <w:r>
        <w:rPr>
          <w:b w:val="false"/>
          <w:bCs w:val="false"/>
        </w:rPr>
        <w:t xml:space="preserve"> Email address for Deb Dash at Intact Insurance is not in the company facts provided.</w:t>
      </w:r>
    </w:p>
    <w:p>
      <w:pPr>
        <w:pStyle w:val="ListParagraph"/>
        <w:numPr>
          <w:ilvl w:val="0"/>
          <w:numId w:val="1"/>
        </w:numPr>
      </w:pPr>
      <w:r>
        <w:rPr>
          <w:b/>
          <w:bCs/>
        </w:rPr>
        <w:t xml:space="preserve">Nature of Engagement:</w:t>
      </w:r>
      <w:r>
        <w:rPr>
          <w:b w:val="false"/>
          <w:bCs w:val="false"/>
        </w:rPr>
        <w:t xml:space="preserve"> Commercial-lines insurance application delivery — attests to the delivery performance of Mohammed Yousuf Shariff.</w:t>
      </w:r>
    </w:p>
    <w:p>
      <w:r>
        <w:t xml:space="preserve"/>
      </w:r>
    </w:p>
    <w:p>
      <w:r>
        <w:rPr>
          <w:b w:val="false"/>
          <w:bCs w:val="false"/>
        </w:rPr>
        <w:t xml:space="preserve">---</w:t>
      </w:r>
    </w:p>
    <w:p>
      <w:r>
        <w:t xml:space="preserve"/>
      </w:r>
    </w:p>
    <w:p>
      <w:r>
        <w:rPr>
          <w:b/>
          <w:bCs/>
        </w:rPr>
        <w:t xml:space="preserve">Reference 2</w:t>
      </w:r>
    </w:p>
    <w:p>
      <w:pPr>
        <w:pStyle w:val="ListParagraph"/>
        <w:numPr>
          <w:ilvl w:val="0"/>
          <w:numId w:val="1"/>
        </w:numPr>
      </w:pPr>
      <w:r>
        <w:rPr>
          <w:b/>
          <w:bCs/>
        </w:rPr>
        <w:t xml:space="preserve">Name:</w:t>
      </w:r>
      <w:r>
        <w:rPr>
          <w:b w:val="false"/>
          <w:bCs w:val="false"/>
        </w:rPr>
        <w:t xml:space="preserve"> Sid Venkat</w:t>
      </w:r>
    </w:p>
    <w:p>
      <w:pPr>
        <w:pStyle w:val="ListParagraph"/>
        <w:numPr>
          <w:ilvl w:val="0"/>
          <w:numId w:val="1"/>
        </w:numPr>
      </w:pPr>
      <w:r>
        <w:rPr>
          <w:b/>
          <w:bCs/>
        </w:rPr>
        <w:t xml:space="preserve">Title:</w:t>
      </w:r>
      <w:r>
        <w:rPr>
          <w:b w:val="false"/>
          <w:bCs w:val="false"/>
        </w:rPr>
        <w:t xml:space="preserve"> IT Development Consultant</w:t>
      </w:r>
    </w:p>
    <w:p>
      <w:pPr>
        <w:pStyle w:val="ListParagraph"/>
        <w:numPr>
          <w:ilvl w:val="0"/>
          <w:numId w:val="1"/>
        </w:numPr>
      </w:pPr>
      <w:r>
        <w:rPr>
          <w:b/>
          <w:bCs/>
        </w:rPr>
        <w:t xml:space="preserve">Organization:</w:t>
      </w:r>
      <w:r>
        <w:rPr>
          <w:b w:val="false"/>
          <w:bCs w:val="false"/>
        </w:rPr>
        <w:t xml:space="preserve"> Northbridge Insurance</w:t>
      </w:r>
    </w:p>
    <w:p>
      <w:pPr>
        <w:pStyle w:val="ListParagraph"/>
        <w:numPr>
          <w:ilvl w:val="0"/>
          <w:numId w:val="1"/>
        </w:numPr>
      </w:pPr>
      <w:r>
        <w:rPr>
          <w:b/>
          <w:bCs/>
        </w:rPr>
        <w:t xml:space="preserve">Phone:</w:t>
      </w:r>
      <w:r>
        <w:rPr>
          <w:b w:val="false"/>
          <w:bCs w:val="false"/>
        </w:rPr>
        <w:t xml:space="preserve"> +1 416-799-3406</w:t>
      </w:r>
    </w:p>
    <w:p>
      <w:pPr>
        <w:pStyle w:val="ListParagraph"/>
        <w:numPr>
          <w:ilvl w:val="0"/>
          <w:numId w:val="1"/>
        </w:numPr>
      </w:pPr>
      <w:r>
        <w:rPr>
          <w:b/>
          <w:bCs/>
        </w:rPr>
        <w:t xml:space="preserve">Email:</w:t>
      </w:r>
      <w:r>
        <w:rPr>
          <w:b w:val="false"/>
          <w:bCs w:val="false"/>
        </w:rPr>
        <w:t xml:space="preserve"> Email address for Sid Venkat at Northbridge Insurance is not in the company facts provided.</w:t>
      </w:r>
    </w:p>
    <w:p>
      <w:pPr>
        <w:pStyle w:val="ListParagraph"/>
        <w:numPr>
          <w:ilvl w:val="0"/>
          <w:numId w:val="1"/>
        </w:numPr>
      </w:pPr>
      <w:r>
        <w:rPr>
          <w:b/>
          <w:bCs/>
        </w:rPr>
        <w:t xml:space="preserve">Nature of Engagement:</w:t>
      </w:r>
      <w:r>
        <w:rPr>
          <w:b w:val="false"/>
          <w:bCs w:val="false"/>
        </w:rPr>
        <w:t xml:space="preserve"> Enterprise data-engineering and Snowflake data-lakehouse delivery — attests to the delivery performance of Mohammed Yousuf Shariff.</w:t>
      </w:r>
    </w:p>
    <w:p>
      <w:r>
        <w:t xml:space="preserve"/>
      </w:r>
    </w:p>
    <w:p>
      <w:r>
        <w:rPr>
          <w:b w:val="false"/>
          <w:bCs w:val="false"/>
        </w:rPr>
        <w:t xml:space="preserve">---</w:t>
      </w:r>
    </w:p>
    <w:p>
      <w:r>
        <w:t xml:space="preserve"/>
      </w:r>
    </w:p>
    <w:p>
      <w:r>
        <w:rPr>
          <w:b/>
          <w:bCs/>
        </w:rPr>
        <w:t xml:space="preserve">Reference 3</w:t>
      </w:r>
    </w:p>
    <w:p>
      <w:pPr>
        <w:pStyle w:val="ListParagraph"/>
        <w:numPr>
          <w:ilvl w:val="0"/>
          <w:numId w:val="1"/>
        </w:numPr>
      </w:pPr>
      <w:r>
        <w:rPr>
          <w:b/>
          <w:bCs/>
        </w:rPr>
        <w:t xml:space="preserve">Name:</w:t>
      </w:r>
      <w:r>
        <w:rPr>
          <w:b w:val="false"/>
          <w:bCs w:val="false"/>
        </w:rPr>
        <w:t xml:space="preserve"> Full name of the third reference contact is not in the company facts — provide the first and last name of a client contact from a NimbleStride Inc. or MGR Infotech engagement (e.g., an infrastructure deployment or software project client).</w:t>
      </w:r>
    </w:p>
    <w:p>
      <w:pPr>
        <w:pStyle w:val="ListParagraph"/>
        <w:numPr>
          <w:ilvl w:val="0"/>
          <w:numId w:val="1"/>
        </w:numPr>
      </w:pPr>
      <w:r>
        <w:rPr>
          <w:b/>
          <w:bCs/>
        </w:rPr>
        <w:t xml:space="preserve">Title:</w:t>
      </w:r>
      <w:r>
        <w:rPr>
          <w:b w:val="false"/>
          <w:bCs w:val="false"/>
        </w:rPr>
        <w:t xml:space="preserve"> Job title of the third reference contact is not in the company facts — provide their official title (e.g., IT Manager, Operations Director) as it should appear in the bid submission.</w:t>
      </w:r>
    </w:p>
    <w:p>
      <w:pPr>
        <w:pStyle w:val="ListParagraph"/>
        <w:numPr>
          <w:ilvl w:val="0"/>
          <w:numId w:val="1"/>
        </w:numPr>
      </w:pPr>
      <w:r>
        <w:rPr>
          <w:b/>
          <w:bCs/>
        </w:rPr>
        <w:t xml:space="preserve">Organization:</w:t>
      </w:r>
      <w:r>
        <w:rPr>
          <w:b w:val="false"/>
          <w:bCs w:val="false"/>
        </w:rPr>
        <w:t xml:space="preserve"> Organization name for the third reference is not in the company facts — provide the client organization name, ideally a NimbleStride Inc. or MGR Infotech project client or a public-sector body, to satisfy RFPs requiring company-level references.</w:t>
      </w:r>
    </w:p>
    <w:p>
      <w:pPr>
        <w:pStyle w:val="ListParagraph"/>
        <w:numPr>
          <w:ilvl w:val="0"/>
          <w:numId w:val="1"/>
        </w:numPr>
      </w:pPr>
      <w:r>
        <w:rPr>
          <w:b/>
          <w:bCs/>
        </w:rPr>
        <w:t xml:space="preserve">Phone:</w:t>
      </w:r>
      <w:r>
        <w:rPr>
          <w:b w:val="false"/>
          <w:bCs w:val="false"/>
        </w:rPr>
        <w:t xml:space="preserve"> Phone number and/or email for the third reference contact are not in the company facts — provide direct contact details (phone and email) for the third reference so the contracting authority can reach them independently.</w:t>
      </w:r>
    </w:p>
    <w:p>
      <w:pPr>
        <w:pStyle w:val="ListParagraph"/>
        <w:numPr>
          <w:ilvl w:val="0"/>
          <w:numId w:val="1"/>
        </w:numPr>
      </w:pPr>
      <w:r>
        <w:rPr>
          <w:b/>
          <w:bCs/>
        </w:rPr>
        <w:t xml:space="preserve">Email:</w:t>
      </w:r>
      <w:r>
        <w:rPr>
          <w:b w:val="false"/>
          <w:bCs w:val="false"/>
        </w:rPr>
        <w:t xml:space="preserve"> Phone number and/or email for the third reference contact are not in the company facts — provide direct contact details (phone and email) for the third reference so the contracting authority can reach them independently.</w:t>
      </w:r>
    </w:p>
    <w:p>
      <w:pPr>
        <w:pStyle w:val="ListParagraph"/>
        <w:numPr>
          <w:ilvl w:val="0"/>
          <w:numId w:val="1"/>
        </w:numPr>
      </w:pPr>
      <w:r>
        <w:rPr>
          <w:b/>
          <w:bCs/>
        </w:rPr>
        <w:t xml:space="preserve">Nature of Engagement:</w:t>
      </w:r>
      <w:r>
        <w:rPr>
          <w:b w:val="false"/>
          <w:bCs w:val="false"/>
        </w:rPr>
        <w:t xml:space="preserve"> Project description and resource role details for this reference are not in the company facts — provide a 2–3 sentence summary of the engagement (scope, dates, contract value if shareable) and the specific role the named resource or NimbleStride/MGR Infotech played in delivering it.</w:t>
      </w:r>
    </w:p>
    <w:p>
      <w:r>
        <w:t xml:space="preserve"/>
      </w:r>
    </w:p>
    <w:p>
      <w:r>
        <w:rPr>
          <w:b w:val="false"/>
          <w:bCs w:val="false"/>
        </w:rPr>
        <w:t xml:space="preserve">&gt; ⚠️ </w:t>
      </w:r>
      <w:r>
        <w:rPr>
          <w:b/>
          <w:bCs/>
        </w:rPr>
        <w:t xml:space="preserve">ACTION REQUIRED:</w:t>
      </w:r>
      <w:r>
        <w:rPr>
          <w:b w:val="false"/>
          <w:bCs w:val="false"/>
        </w:rPr>
        <w:t xml:space="preserve"> A third reference is mandatory. The dossier does not provide a third reference. This must be resolved before submission or the Proposal may be declared non-compliant.</w:t>
      </w:r>
    </w:p>
    <w:p>
      <w:r>
        <w:t xml:space="preserve"/>
      </w:r>
    </w:p>
    <w:p>
      <w:r>
        <w:rPr>
          <w:b w:val="false"/>
          <w:bCs w:val="false"/>
        </w:rPr>
        <w:t xml:space="preserve">---</w:t>
      </w:r>
    </w:p>
    <w:p>
      <w:r>
        <w:t xml:space="preserve"/>
      </w:r>
    </w:p>
    <w:p>
      <w:pPr>
        <w:pStyle w:val="Heading1"/>
      </w:pPr>
      <w:r>
        <w:rPr>
          <w:b w:val="false"/>
          <w:bCs w:val="false"/>
        </w:rPr>
        <w:t xml:space="preserve">Section 6 — Declarations &amp; Required Forms / Appendices</w:t>
      </w:r>
    </w:p>
    <w:p>
      <w:r>
        <w:t xml:space="preserve"/>
      </w:r>
    </w:p>
    <w:p>
      <w:r>
        <w:rPr>
          <w:b w:val="false"/>
          <w:bCs w:val="false"/>
        </w:rPr>
        <w:t xml:space="preserve">The following forms and declarations must be completed, signed, and included in the appropriate Package before submission:</w:t>
      </w:r>
    </w:p>
    <w:p>
      <w:r>
        <w:t xml:space="preserve"/>
      </w:r>
    </w:p>
    <w:p>
      <w:r>
        <w:rPr>
          <w:b w:val="false"/>
          <w:bCs w:val="false"/>
        </w:rPr>
        <w:t xml:space="preserve">| # | Item | Package | Status |</w:t>
      </w:r>
    </w:p>
    <w:p>
      <w:r>
        <w:rPr>
          <w:b w:val="false"/>
          <w:bCs w:val="false"/>
        </w:rPr>
        <w:t xml:space="preserve">|---|------|---------|--------|</w:t>
      </w:r>
    </w:p>
    <w:p>
      <w:r>
        <w:rPr>
          <w:b w:val="false"/>
          <w:bCs w:val="false"/>
        </w:rPr>
        <w:t xml:space="preserve">| 1 | </w:t>
      </w:r>
      <w:r>
        <w:rPr>
          <w:b/>
          <w:bCs/>
        </w:rPr>
        <w:t xml:space="preserve">Proposal Submission Form</w:t>
      </w:r>
      <w:r>
        <w:rPr>
          <w:b w:val="false"/>
          <w:bCs w:val="false"/>
        </w:rPr>
        <w:t xml:space="preserve"> (Section 5 of RFP) — including resource references | Package One | This item requires a wet or electronic signature from an authorized signing officer of NimbleStride Inc. — Mohammed Yousuf Shariff should complete, date, and sign the client's declaration form in his capacity as Principal, then attach the executed document to the submission package. |</w:t>
      </w:r>
    </w:p>
    <w:p>
      <w:r>
        <w:rPr>
          <w:b w:val="false"/>
          <w:bCs w:val="false"/>
        </w:rPr>
        <w:t xml:space="preserve">| 2 | </w:t>
      </w:r>
      <w:r>
        <w:rPr>
          <w:b/>
          <w:bCs/>
        </w:rPr>
        <w:t xml:space="preserve">Fee Proposal Submission Form</w:t>
      </w:r>
      <w:r>
        <w:rPr>
          <w:b w:val="false"/>
          <w:bCs w:val="false"/>
        </w:rPr>
        <w:t xml:space="preserve"> (Section 5 of RFP) — hourly rate and maximum upset fee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2026-10-15T04:40:25.058Z</dcterms:created>
  <dcterms:modified xsi:type="dcterms:W3CDTF">2026-10-15T04:40:25.058Z</dcterms:modified>
</cp:coreProperties>
</file>

<file path=docProps/custom.xml><?xml version="1.0" encoding="utf-8"?>
<Properties xmlns="http://schemas.openxmlformats.org/officeDocument/2006/custom-properties" xmlns:vt="http://schemas.openxmlformats.org/officeDocument/2006/docPropsVTypes"/>
</file>