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val="false"/>
          <w:bCs w:val="false"/>
        </w:rPr>
        <w:t xml:space="preserve">DRAFT RESPONSE — RFSQ 24-0345Y2</w:t>
      </w:r>
    </w:p>
    <w:p>
      <w:pPr>
        <w:pStyle w:val="Heading2"/>
      </w:pPr>
      <w:r>
        <w:rPr>
          <w:b w:val="false"/>
          <w:bCs w:val="false"/>
        </w:rPr>
        <w:t xml:space="preserve">Qualified Supplier List — Access Control System</w:t>
      </w:r>
    </w:p>
    <w:p>
      <w:pPr>
        <w:pStyle w:val="Heading3"/>
      </w:pPr>
      <w:r>
        <w:rPr>
          <w:b w:val="false"/>
          <w:bCs w:val="false"/>
        </w:rPr>
        <w:t xml:space="preserve">City of Saskatoon</w:t>
      </w:r>
    </w:p>
    <w:p>
      <w:pPr>
        <w:pStyle w:val="Heading3"/>
      </w:pPr>
      <w:r>
        <w:rPr>
          <w:b w:val="false"/>
          <w:bCs w:val="false"/>
        </w:rPr>
        <w:t xml:space="preserve">Prepared by: NimbleStride Inc. / MGR Infotech</w:t>
      </w:r>
    </w:p>
    <w:p>
      <w:r>
        <w:t xml:space="preserve"/>
      </w:r>
    </w:p>
    <w:p>
      <w:r>
        <w:rPr>
          <w:b w:val="false"/>
          <w:bCs w:val="false"/>
        </w:rPr>
        <w:t xml:space="preserve">---</w:t>
      </w:r>
    </w:p>
    <w:p>
      <w:r>
        <w:t xml:space="preserve"/>
      </w:r>
    </w:p>
    <w:p>
      <w:r>
        <w:rPr>
          <w:b w:val="false"/>
          <w:bCs w:val="false"/>
        </w:rPr>
        <w:t xml:space="preserve">&gt; </w:t>
      </w:r>
      <w:r>
        <w:rPr>
          <w:b/>
          <w:bCs/>
        </w:rPr>
        <w:t xml:space="preserve">⚠️ CRITICAL PRE-SUBMISSION NOTICE TO HUMAN REVIEWER</w:t>
      </w:r>
    </w:p>
    <w:p>
      <w:r>
        <w:rPr>
          <w:b w:val="false"/>
          <w:bCs w:val="false"/>
        </w:rPr>
        <w:t xml:space="preserve">&gt;</w:t>
      </w:r>
    </w:p>
    <w:p>
      <w:r>
        <w:rPr>
          <w:b w:val="false"/>
          <w:bCs w:val="false"/>
        </w:rPr>
        <w:t xml:space="preserve">&gt; Before finalising this response, read the following gap analysis carefully. Several </w:t>
      </w:r>
      <w:r>
        <w:rPr>
          <w:b/>
          <w:bCs/>
        </w:rPr>
        <w:t xml:space="preserve">mandatory requirements</w:t>
      </w:r>
      <w:r>
        <w:rPr>
          <w:b w:val="false"/>
          <w:bCs w:val="false"/>
        </w:rPr>
        <w:t xml:space="preserve"> of this RFSQ cannot be satisfied by facts in the company dossier. Submitting without resolving these gaps will result in </w:t>
      </w:r>
      <w:r>
        <w:rPr>
          <w:b/>
          <w:bCs/>
        </w:rPr>
        <w:t xml:space="preserve">disqualification</w:t>
      </w:r>
      <w:r>
        <w:rPr>
          <w:b w:val="false"/>
          <w:bCs w:val="false"/>
        </w:rPr>
        <w:t xml:space="preserve">.</w:t>
      </w:r>
    </w:p>
    <w:p>
      <w:r>
        <w:rPr>
          <w:b w:val="false"/>
          <w:bCs w:val="false"/>
        </w:rPr>
        <w:t xml:space="preserve">&gt;</w:t>
      </w:r>
    </w:p>
    <w:p>
      <w:r>
        <w:rPr>
          <w:b w:val="false"/>
          <w:bCs w:val="false"/>
        </w:rPr>
        <w:t xml:space="preserve">&gt; | # | Gap | Risk |</w:t>
      </w:r>
    </w:p>
    <w:p>
      <w:r>
        <w:rPr>
          <w:b w:val="false"/>
          <w:bCs w:val="false"/>
        </w:rPr>
        <w:t xml:space="preserve">&gt; |---|-----|------|</w:t>
      </w:r>
    </w:p>
    <w:p>
      <w:r>
        <w:rPr>
          <w:b w:val="false"/>
          <w:bCs w:val="false"/>
        </w:rPr>
        <w:t xml:space="preserve">&gt; | A | </w:t>
      </w:r>
      <w:r>
        <w:rPr>
          <w:b/>
          <w:bCs/>
        </w:rPr>
        <w:t xml:space="preserve">Honeywell ProWatch Certification</w:t>
      </w:r>
      <w:r>
        <w:rPr>
          <w:b w:val="false"/>
          <w:bCs w:val="false"/>
        </w:rPr>
        <w:t xml:space="preserve"> (mandatory, p.30/p.45) — no certification exists in the dossier | </w:t>
      </w:r>
      <w:r>
        <w:rPr>
          <w:b/>
          <w:bCs/>
        </w:rPr>
        <w:t xml:space="preserve">Disqualifying if not resolved</w:t>
      </w:r>
      <w:r>
        <w:rPr>
          <w:b w:val="false"/>
          <w:bCs w:val="false"/>
        </w:rPr>
        <w:t xml:space="preserve"> |</w:t>
      </w:r>
    </w:p>
    <w:p>
      <w:r>
        <w:rPr>
          <w:b w:val="false"/>
          <w:bCs w:val="false"/>
        </w:rPr>
        <w:t xml:space="preserve">&gt; | B | </w:t>
      </w:r>
      <w:r>
        <w:rPr>
          <w:b/>
          <w:bCs/>
        </w:rPr>
        <w:t xml:space="preserve">CGL insurance limit is $2M; tender requires $5M per occurrence</w:t>
      </w:r>
      <w:r>
        <w:rPr>
          <w:b w:val="false"/>
          <w:bCs w:val="false"/>
        </w:rPr>
        <w:t xml:space="preserve"> (p.17/p.25) | </w:t>
      </w:r>
      <w:r>
        <w:rPr>
          <w:b/>
          <w:bCs/>
        </w:rPr>
        <w:t xml:space="preserve">Disqualifying if not resolved</w:t>
      </w:r>
      <w:r>
        <w:rPr>
          <w:b w:val="false"/>
          <w:bCs w:val="false"/>
        </w:rPr>
        <w:t xml:space="preserve"> |</w:t>
      </w:r>
    </w:p>
    <w:p>
      <w:r>
        <w:rPr>
          <w:b w:val="false"/>
          <w:bCs w:val="false"/>
        </w:rPr>
        <w:t xml:space="preserve">&gt; | C | </w:t>
      </w:r>
      <w:r>
        <w:rPr>
          <w:b/>
          <w:bCs/>
        </w:rPr>
        <w:t xml:space="preserve">Three written reference letters for Honeywell ProWatch support at a large organisation</w:t>
      </w:r>
      <w:r>
        <w:rPr>
          <w:b w:val="false"/>
          <w:bCs w:val="false"/>
        </w:rPr>
        <w:t xml:space="preserve"> (p.49/p.78) — no ProWatch references in dossier | </w:t>
      </w:r>
      <w:r>
        <w:rPr>
          <w:b/>
          <w:bCs/>
        </w:rPr>
        <w:t xml:space="preserve">Disqualifying if not resolved</w:t>
      </w:r>
      <w:r>
        <w:rPr>
          <w:b w:val="false"/>
          <w:bCs w:val="false"/>
        </w:rPr>
        <w:t xml:space="preserve"> |</w:t>
      </w:r>
    </w:p>
    <w:p>
      <w:r>
        <w:rPr>
          <w:b w:val="false"/>
          <w:bCs w:val="false"/>
        </w:rPr>
        <w:t xml:space="preserve">&gt; | D | </w:t>
      </w:r>
      <w:r>
        <w:rPr>
          <w:b/>
          <w:bCs/>
        </w:rPr>
        <w:t xml:space="preserve">Single legal entity requirement</w:t>
      </w:r>
      <w:r>
        <w:rPr>
          <w:b w:val="false"/>
          <w:bCs w:val="false"/>
        </w:rPr>
        <w:t xml:space="preserve"> (p.35/p.52) — dossier lists two entities (NimbleStride Inc. and MGR Infotech); must confirm which single legal entity will sign the Master Framework Agreement | </w:t>
      </w:r>
      <w:r>
        <w:rPr>
          <w:b/>
          <w:bCs/>
        </w:rPr>
        <w:t xml:space="preserve">Disqualifying if not resolved</w:t>
      </w:r>
      <w:r>
        <w:rPr>
          <w:b w:val="false"/>
          <w:bCs w:val="false"/>
        </w:rPr>
        <w:t xml:space="preserve"> |</w:t>
      </w:r>
    </w:p>
    <w:p>
      <w:r>
        <w:rPr>
          <w:b w:val="false"/>
          <w:bCs w:val="false"/>
        </w:rPr>
        <w:t xml:space="preserve">&gt; | E | </w:t>
      </w:r>
      <w:r>
        <w:rPr>
          <w:b/>
          <w:bCs/>
        </w:rPr>
        <w:t xml:space="preserve">Asbestos awareness training certificate</w:t>
      </w:r>
      <w:r>
        <w:rPr>
          <w:b w:val="false"/>
          <w:bCs w:val="false"/>
        </w:rPr>
        <w:t xml:space="preserve"> (p.47/p.69–70) — not in dossier | </w:t>
      </w:r>
      <w:r>
        <w:rPr>
          <w:b/>
          <w:bCs/>
        </w:rPr>
        <w:t xml:space="preserve">Disqualifying if not resolved</w:t>
      </w:r>
      <w:r>
        <w:rPr>
          <w:b w:val="false"/>
          <w:bCs w:val="false"/>
        </w:rPr>
        <w:t xml:space="preserve"> |</w:t>
      </w:r>
    </w:p>
    <w:p>
      <w:r>
        <w:rPr>
          <w:b w:val="false"/>
          <w:bCs w:val="false"/>
        </w:rPr>
        <w:t xml:space="preserve">&gt; | F | </w:t>
      </w:r>
      <w:r>
        <w:rPr>
          <w:b/>
          <w:bCs/>
        </w:rPr>
        <w:t xml:space="preserve">Safety Manual</w:t>
      </w:r>
      <w:r>
        <w:rPr>
          <w:b w:val="false"/>
          <w:bCs w:val="false"/>
        </w:rPr>
        <w:t xml:space="preserve"> (p.47/p.71) — not in dossier | </w:t>
      </w:r>
      <w:r>
        <w:rPr>
          <w:b/>
          <w:bCs/>
        </w:rPr>
        <w:t xml:space="preserve">Disqualifying if not resolved</w:t>
      </w:r>
      <w:r>
        <w:rPr>
          <w:b w:val="false"/>
          <w:bCs w:val="false"/>
        </w:rPr>
        <w:t xml:space="preserve"> |</w:t>
      </w:r>
    </w:p>
    <w:p>
      <w:r>
        <w:rPr>
          <w:b w:val="false"/>
          <w:bCs w:val="false"/>
        </w:rPr>
        <w:t xml:space="preserve">&gt; | G | </w:t>
      </w:r>
      <w:r>
        <w:rPr>
          <w:b/>
          <w:bCs/>
        </w:rPr>
        <w:t xml:space="preserve">Criminal Record Checks</w:t>
      </w:r>
      <w:r>
        <w:rPr>
          <w:b w:val="false"/>
          <w:bCs w:val="false"/>
        </w:rPr>
        <w:t xml:space="preserve"> for all staff/subcontractors (p.47/p.72–75) — not in dossier | </w:t>
      </w:r>
      <w:r>
        <w:rPr>
          <w:b/>
          <w:bCs/>
        </w:rPr>
        <w:t xml:space="preserve">Required within 4 weeks of award</w:t>
      </w:r>
      <w:r>
        <w:rPr>
          <w:b w:val="false"/>
          <w:bCs w:val="false"/>
        </w:rPr>
        <w:t xml:space="preserve"> |</w:t>
      </w:r>
    </w:p>
    <w:p>
      <w:r>
        <w:rPr>
          <w:b w:val="false"/>
          <w:bCs w:val="false"/>
        </w:rPr>
        <w:t xml:space="preserve">&gt; | H | </w:t>
      </w:r>
      <w:r>
        <w:rPr>
          <w:b/>
          <w:bCs/>
        </w:rPr>
        <w:t xml:space="preserve">Organisation chart with safety personnel reporting structure</w:t>
      </w:r>
      <w:r>
        <w:rPr>
          <w:b w:val="false"/>
          <w:bCs w:val="false"/>
        </w:rPr>
        <w:t xml:space="preserve"> (p.23/p.36) — not in dossier | </w:t>
      </w:r>
      <w:r>
        <w:rPr>
          <w:b/>
          <w:bCs/>
        </w:rPr>
        <w:t xml:space="preserve">Required ≥10 days before work commences</w:t>
      </w:r>
      <w:r>
        <w:rPr>
          <w:b w:val="false"/>
          <w:bCs w:val="false"/>
        </w:rPr>
        <w:t xml:space="preserve"> |</w:t>
      </w:r>
    </w:p>
    <w:p>
      <w:r>
        <w:rPr>
          <w:b w:val="false"/>
          <w:bCs w:val="false"/>
        </w:rPr>
        <w:t xml:space="preserve">&gt; | I | </w:t>
      </w:r>
      <w:r>
        <w:rPr>
          <w:b/>
          <w:bCs/>
        </w:rPr>
        <w:t xml:space="preserve">Emergency Response Plan</w:t>
      </w:r>
      <w:r>
        <w:rPr>
          <w:b w:val="false"/>
          <w:bCs w:val="false"/>
        </w:rPr>
        <w:t xml:space="preserve"> (p.23/p.37) — not in dossier | </w:t>
      </w:r>
      <w:r>
        <w:rPr>
          <w:b/>
          <w:bCs/>
        </w:rPr>
        <w:t xml:space="preserve">Required ≥10 days before work commences</w:t>
      </w:r>
      <w:r>
        <w:rPr>
          <w:b w:val="false"/>
          <w:bCs w:val="false"/>
        </w:rPr>
        <w:t xml:space="preserve"> |</w:t>
      </w:r>
    </w:p>
    <w:p>
      <w:r>
        <w:rPr>
          <w:b w:val="false"/>
          <w:bCs w:val="false"/>
        </w:rPr>
        <w:t xml:space="preserve">&gt; | J | </w:t>
      </w:r>
      <w:r>
        <w:rPr>
          <w:b/>
          <w:bCs/>
        </w:rPr>
        <w:t xml:space="preserve">WCB/workplace safety insurance</w:t>
      </w:r>
      <w:r>
        <w:rPr>
          <w:b w:val="false"/>
          <w:bCs w:val="false"/>
        </w:rPr>
        <w:t xml:space="preserve"> (p.18/p.33) — WCB number not in dossier | </w:t>
      </w:r>
      <w:r>
        <w:rPr>
          <w:b/>
          <w:bCs/>
        </w:rPr>
        <w:t xml:space="preserve">Confirm and provide</w:t>
      </w:r>
      <w:r>
        <w:rPr>
          <w:b w:val="false"/>
          <w:bCs w:val="false"/>
        </w:rPr>
        <w:t xml:space="preserve"> |</w:t>
      </w:r>
    </w:p>
    <w:p>
      <w:r>
        <w:rPr>
          <w:b w:val="false"/>
          <w:bCs w:val="false"/>
        </w:rPr>
        <w:t xml:space="preserve">&gt; | K | </w:t>
      </w:r>
      <w:r>
        <w:rPr>
          <w:b/>
          <w:bCs/>
        </w:rPr>
        <w:t xml:space="preserve">CRA Business Number and corporate registry numbers</w:t>
      </w:r>
      <w:r>
        <w:rPr>
          <w:b w:val="false"/>
          <w:bCs w:val="false"/>
        </w:rPr>
        <w:t xml:space="preserve"> — not in dossier | </w:t>
      </w:r>
      <w:r>
        <w:rPr>
          <w:b/>
          <w:bCs/>
        </w:rPr>
        <w:t xml:space="preserve">Required for vendor registration</w:t>
      </w:r>
      <w:r>
        <w:rPr>
          <w:b w:val="false"/>
          <w:bCs w:val="false"/>
        </w:rPr>
        <w:t xml:space="preserve"> |</w:t>
      </w:r>
    </w:p>
    <w:p>
      <w:r>
        <w:rPr>
          <w:b w:val="false"/>
          <w:bCs w:val="false"/>
        </w:rPr>
        <w:t xml:space="preserve">&gt; | L | </w:t>
      </w:r>
      <w:r>
        <w:rPr>
          <w:b/>
          <w:bCs/>
        </w:rPr>
        <w:t xml:space="preserve">On-site programming and commissioning capability</w:t>
      </w:r>
      <w:r>
        <w:rPr>
          <w:b w:val="false"/>
          <w:bCs w:val="false"/>
        </w:rPr>
        <w:t xml:space="preserve"> (p.26/p.38) — physical access-control installation experience not confirmed beyond CCTV/POS | </w:t>
      </w:r>
      <w:r>
        <w:rPr>
          <w:b/>
          <w:bCs/>
        </w:rPr>
        <w:t xml:space="preserve">Assess and confirm</w:t>
      </w:r>
      <w:r>
        <w:rPr>
          <w:b w:val="false"/>
          <w:bCs w:val="false"/>
        </w:rPr>
        <w:t xml:space="preserve"> |</w:t>
      </w:r>
    </w:p>
    <w:p>
      <w:r>
        <w:rPr>
          <w:b w:val="false"/>
          <w:bCs w:val="false"/>
        </w:rPr>
        <w:t xml:space="preserve">&gt;</w:t>
      </w:r>
    </w:p>
    <w:p>
      <w:r>
        <w:rPr>
          <w:b w:val="false"/>
          <w:bCs w:val="false"/>
        </w:rPr>
        <w:t xml:space="preserve">&gt; </w:t>
      </w:r>
      <w:r>
        <w:rPr>
          <w:b/>
          <w:bCs/>
        </w:rPr>
        <w:t xml:space="preserve">Recommendation:</w:t>
      </w:r>
      <w:r>
        <w:rPr>
          <w:b w:val="false"/>
          <w:bCs w:val="false"/>
        </w:rPr>
        <w:t xml:space="preserve"> Do not submit this response until Gap A (ProWatch certification) and Gap B (insurance limit) are resolved. These are mandatory and non-rectifiable.</w:t>
      </w:r>
    </w:p>
    <w:p>
      <w:r>
        <w:t xml:space="preserve"/>
      </w:r>
    </w:p>
    <w:p>
      <w:r>
        <w:rPr>
          <w:b w:val="false"/>
          <w:bCs w:val="false"/>
        </w:rPr>
        <w:t xml:space="preserve">---</w:t>
      </w:r>
    </w:p>
    <w:p>
      <w:r>
        <w:t xml:space="preserve"/>
      </w:r>
    </w:p>
    <w:p>
      <w:pPr>
        <w:pStyle w:val="Heading1"/>
      </w:pPr>
      <w:r>
        <w:rPr>
          <w:b w:val="false"/>
          <w:bCs w:val="false"/>
        </w:rPr>
        <w:t xml:space="preserve">1. Cover Letter</w:t>
      </w:r>
    </w:p>
    <w:p>
      <w:r>
        <w:t xml:space="preserve"/>
      </w:r>
    </w:p>
    <w:p>
      <w:r>
        <w:rPr>
          <w:b/>
          <w:bCs/>
        </w:rPr>
        <w:t xml:space="preserve">Date:</w:t>
      </w:r>
      <w:r>
        <w:rPr>
          <w:b w:val="false"/>
          <w:bCs w:val="false"/>
        </w:rPr>
        <w:t xml:space="preserve"> [PROVIDE: submission date — must be on or before Monday, 31 August 2026, 2:00 PM CST]</w:t>
      </w:r>
    </w:p>
    <w:p>
      <w:r>
        <w:t xml:space="preserve"/>
      </w:r>
    </w:p>
    <w:p>
      <w:r>
        <w:rPr>
          <w:b/>
          <w:bCs/>
        </w:rPr>
        <w:t xml:space="preserve">To:</w:t>
      </w:r>
    </w:p>
    <w:p>
      <w:r>
        <w:rPr>
          <w:b w:val="false"/>
          <w:bCs w:val="false"/>
        </w:rPr>
        <w:t xml:space="preserve">City of Saskatoon — Procurement Services</w:t>
      </w:r>
    </w:p>
    <w:p>
      <w:r>
        <w:rPr>
          <w:b w:val="false"/>
          <w:bCs w:val="false"/>
        </w:rPr>
        <w:t xml:space="preserve">RFSQ 24-0345Y2 — Qualified Supplier List: Access Control System</w:t>
      </w:r>
    </w:p>
    <w:p>
      <w:r>
        <w:rPr>
          <w:b w:val="false"/>
          <w:bCs w:val="false"/>
        </w:rPr>
        <w:t xml:space="preserve">Submitted electronically via: saskatoon.bidsandtenders.ca</w:t>
      </w:r>
    </w:p>
    <w:p>
      <w:r>
        <w:t xml:space="preserve"/>
      </w:r>
    </w:p>
    <w:p>
      <w:r>
        <w:rPr>
          <w:b/>
          <w:bCs/>
        </w:rPr>
        <w:t xml:space="preserve">From:</w:t>
      </w:r>
    </w:p>
    <w:p>
      <w:r>
        <w:rPr>
          <w:b w:val="false"/>
          <w:bCs w:val="false"/>
        </w:rPr>
        <w:t xml:space="preserve">Mohammed Yousuf Shariff</w:t>
      </w:r>
    </w:p>
    <w:p>
      <w:r>
        <w:rPr>
          <w:b w:val="false"/>
          <w:bCs w:val="false"/>
        </w:rPr>
        <w:t xml:space="preserve">NimbleStride Inc.</w:t>
      </w:r>
    </w:p>
    <w:p>
      <w:r>
        <w:rPr>
          <w:b w:val="false"/>
          <w:bCs w:val="false"/>
        </w:rPr>
        <w:t xml:space="preserve">1209 Waterford Dr, Chestermere, AB T1X 3A1</w:t>
      </w:r>
    </w:p>
    <w:p>
      <w:r>
        <w:rPr>
          <w:b w:val="false"/>
          <w:bCs w:val="false"/>
        </w:rPr>
        <w:t xml:space="preserve">Email: support@nimblestride.ca</w:t>
      </w:r>
    </w:p>
    <w:p>
      <w:r>
        <w:rPr>
          <w:b w:val="false"/>
          <w:bCs w:val="false"/>
        </w:rPr>
        <w:t xml:space="preserve">Phone: +1 (613) 407-0895</w:t>
      </w:r>
    </w:p>
    <w:p>
      <w:r>
        <w:t xml:space="preserve"/>
      </w:r>
    </w:p>
    <w:p>
      <w:r>
        <w:rPr>
          <w:b w:val="false"/>
          <w:bCs w:val="false"/>
        </w:rPr>
        <w:t xml:space="preserve">---</w:t>
      </w:r>
    </w:p>
    <w:p>
      <w:r>
        <w:t xml:space="preserve"/>
      </w:r>
    </w:p>
    <w:p>
      <w:r>
        <w:rPr>
          <w:b w:val="false"/>
          <w:bCs w:val="false"/>
        </w:rPr>
        <w:t xml:space="preserve">Dear City of Saskatoon Procurement Team,</w:t>
      </w:r>
    </w:p>
    <w:p>
      <w:r>
        <w:t xml:space="preserve"/>
      </w:r>
    </w:p>
    <w:p>
      <w:r>
        <w:rPr>
          <w:b w:val="false"/>
          <w:bCs w:val="false"/>
        </w:rPr>
        <w:t xml:space="preserve">NimbleStride Inc. (operating as MGR Infotech in Saskatchewan) is pleased to submit this response to RFSQ 24-0345Y2 for inclusion on the City of Saskatoon's Qualified Supplier List for Access Control Systems.</w:t>
      </w:r>
    </w:p>
    <w:p>
      <w:r>
        <w:t xml:space="preserve"/>
      </w:r>
    </w:p>
    <w:p>
      <w:r>
        <w:rPr>
          <w:b w:val="false"/>
          <w:bCs w:val="false"/>
        </w:rPr>
        <w:t xml:space="preserve">&gt; </w:t>
      </w:r>
      <w:r>
        <w:rPr>
          <w:b/>
          <w:bCs/>
        </w:rPr>
        <w:t xml:space="preserve">[PROVIDE: one or two sentences summarising your specific Honeywell ProWatch experience and why you are qualified — this is the core mandatory differentiator for this RFSQ. Do not submit a generic paragraph here.]</w:t>
      </w:r>
    </w:p>
    <w:p>
      <w:r>
        <w:t xml:space="preserve"/>
      </w:r>
    </w:p>
    <w:p>
      <w:r>
        <w:rPr>
          <w:b w:val="false"/>
          <w:bCs w:val="false"/>
        </w:rPr>
        <w:t xml:space="preserve">The undersigned has full authority to legally bind NimbleStride Inc. and to submit this bid on behalf of the organisation.</w:t>
      </w:r>
    </w:p>
    <w:p>
      <w:r>
        <w:t xml:space="preserve"/>
      </w:r>
    </w:p>
    <w:p>
      <w:r>
        <w:rPr>
          <w:b w:val="false"/>
          <w:bCs w:val="false"/>
        </w:rPr>
        <w:t xml:space="preserve">This response has been prepared in accordance with the instructions in the bidding system and the requirements set out in RFSQ 24-0345Y2. We confirm that we have reviewed all issued addenda and that our response incorporates their requirements.</w:t>
      </w:r>
    </w:p>
    <w:p>
      <w:r>
        <w:t xml:space="preserve"/>
      </w:r>
    </w:p>
    <w:p>
      <w:r>
        <w:rPr>
          <w:b w:val="false"/>
          <w:bCs w:val="false"/>
        </w:rPr>
        <w:t xml:space="preserve">Yours sincerely,</w:t>
      </w:r>
    </w:p>
    <w:p>
      <w:r>
        <w:t xml:space="preserve"/>
      </w:r>
    </w:p>
    <w:p>
      <w:r>
        <w:rPr>
          <w:b/>
          <w:bCs/>
        </w:rPr>
        <w:t xml:space="preserve">Mohammed Yousuf Shariff</w:t>
      </w:r>
    </w:p>
    <w:p>
      <w:r>
        <w:rPr>
          <w:b w:val="false"/>
          <w:bCs w:val="false"/>
        </w:rPr>
        <w:t xml:space="preserve">Principal, NimbleStride Inc. / MGR Infotech</w:t>
      </w:r>
    </w:p>
    <w:p>
      <w:r>
        <w:rPr>
          <w:b w:val="false"/>
          <w:bCs w:val="false"/>
        </w:rPr>
        <w:t xml:space="preserve">support@nimblestride.ca | +1 (613) 407-0895</w:t>
      </w:r>
    </w:p>
    <w:p>
      <w:r>
        <w:t xml:space="preserve"/>
      </w:r>
    </w:p>
    <w:p>
      <w:r>
        <w:rPr>
          <w:b w:val="false"/>
          <w:bCs w:val="false"/>
        </w:rPr>
        <w:t xml:space="preserve">---</w:t>
      </w:r>
    </w:p>
    <w:p>
      <w:r>
        <w:t xml:space="preserve"/>
      </w:r>
    </w:p>
    <w:p>
      <w:pPr>
        <w:pStyle w:val="Heading1"/>
      </w:pPr>
      <w:r>
        <w:rPr>
          <w:b w:val="false"/>
          <w:bCs w:val="false"/>
        </w:rPr>
        <w:t xml:space="preserve">2. Company Overview</w:t>
      </w:r>
    </w:p>
    <w:p>
      <w:r>
        <w:t xml:space="preserve"/>
      </w:r>
    </w:p>
    <w:p>
      <w:r>
        <w:rPr>
          <w:b w:val="false"/>
          <w:bCs w:val="false"/>
        </w:rPr>
        <w:t xml:space="preserve">NimbleStride Inc. is an Alberta-incorporated company operating under the trade name MGR Infotech in Saskatchewan. Together, the two entities form a single integrated delivery organisation serving public- and private-sector clients across Alberta, Saskatchewan, and Manitoba.</w:t>
      </w:r>
    </w:p>
    <w:p>
      <w:r>
        <w:t xml:space="preserve"/>
      </w:r>
    </w:p>
    <w:p>
      <w:r>
        <w:rPr>
          <w:b w:val="false"/>
          <w:bCs w:val="false"/>
        </w:rPr>
        <w:t xml:space="preserve">&gt; </w:t>
      </w:r>
      <w:r>
        <w:rPr>
          <w:b/>
          <w:bCs/>
        </w:rPr>
        <w:t xml:space="preserve">[CONFIRM: For this RFSQ, which single legal entity will enter into the Master Framework Agreement with the City of Saskatoon? Per p.35/p.52, the respondent must be a single legal entity. Confirm whether the contracting entity is NimbleStride Inc. or MGR Infotech, and ensure all forms are signed under that single entity name.]</w:t>
      </w:r>
    </w:p>
    <w:p>
      <w:r>
        <w:t xml:space="preserve"/>
      </w:r>
    </w:p>
    <w:p>
      <w:r>
        <w:rPr>
          <w:b/>
          <w:bCs/>
        </w:rPr>
        <w:t xml:space="preserve">Functional division of the two entities:</w:t>
      </w:r>
    </w:p>
    <w:p>
      <w:pPr>
        <w:pStyle w:val="ListParagraph"/>
        <w:numPr>
          <w:ilvl w:val="0"/>
          <w:numId w:val="1"/>
        </w:numPr>
      </w:pPr>
      <w:r>
        <w:rPr>
          <w:b/>
          <w:bCs/>
        </w:rPr>
        <w:t xml:space="preserve">NimbleStride Inc.</w:t>
      </w:r>
      <w:r>
        <w:rPr>
          <w:b w:val="false"/>
          <w:bCs w:val="false"/>
        </w:rPr>
        <w:t xml:space="preserve"> — custom software, AI, and web platform development.</w:t>
      </w:r>
    </w:p>
    <w:p>
      <w:pPr>
        <w:pStyle w:val="ListParagraph"/>
        <w:numPr>
          <w:ilvl w:val="0"/>
          <w:numId w:val="1"/>
        </w:numPr>
      </w:pPr>
      <w:r>
        <w:rPr>
          <w:b/>
          <w:bCs/>
        </w:rPr>
        <w:t xml:space="preserve">MGR Infotech</w:t>
      </w:r>
      <w:r>
        <w:rPr>
          <w:b w:val="false"/>
          <w:bCs w:val="false"/>
        </w:rPr>
        <w:t xml:space="preserve"> — IT infrastructure, hardware supply, Microsoft services, CCTV and physical security system installation, and point-of-sale system deployment.</w:t>
      </w:r>
    </w:p>
    <w:p>
      <w:r>
        <w:t xml:space="preserve"/>
      </w:r>
    </w:p>
    <w:p>
      <w:r>
        <w:rPr>
          <w:b w:val="false"/>
          <w:bCs w:val="false"/>
        </w:rPr>
        <w:t xml:space="preserve">The physical security and access-control delivery capability relevant to this RFSQ resides within the MGR Infotech operating entity, which has delivered CCTV security-system installations and IT infrastructure deployments across Alberta and Saskatchewan.</w:t>
      </w:r>
    </w:p>
    <w:p>
      <w:r>
        <w:t xml:space="preserve"/>
      </w:r>
    </w:p>
    <w:p>
      <w:r>
        <w:rPr>
          <w:b/>
          <w:bCs/>
        </w:rPr>
        <w:t xml:space="preserve">Principal contact for all matters relating to this RFSQ:</w:t>
      </w:r>
    </w:p>
    <w:p>
      <w:r>
        <w:rPr>
          <w:b w:val="false"/>
          <w:bCs w:val="false"/>
        </w:rPr>
        <w:t xml:space="preserve">Mohammed Yousuf Shariff</w:t>
      </w:r>
    </w:p>
    <w:p>
      <w:r>
        <w:rPr>
          <w:b w:val="false"/>
          <w:bCs w:val="false"/>
        </w:rPr>
        <w:t xml:space="preserve">1209 Waterford Dr, Chestermere, AB T1X 3A1</w:t>
      </w:r>
    </w:p>
    <w:p>
      <w:r>
        <w:rPr>
          <w:b w:val="false"/>
          <w:bCs w:val="false"/>
        </w:rPr>
        <w:t xml:space="preserve">support@nimblestride.ca | +1 (613) 407-0895</w:t>
      </w:r>
    </w:p>
    <w:p>
      <w:r>
        <w:t xml:space="preserve"/>
      </w:r>
    </w:p>
    <w:p>
      <w:r>
        <w:rPr>
          <w:b w:val="false"/>
          <w:bCs w:val="false"/>
        </w:rPr>
        <w:t xml:space="preserve">[PROVIDE: CRA Business Number]</w:t>
      </w:r>
    </w:p>
    <w:p>
      <w:r>
        <w:rPr>
          <w:b w:val="false"/>
          <w:bCs w:val="false"/>
        </w:rPr>
        <w:t xml:space="preserve">[PROVIDE: Alberta Corporate Registry number]</w:t>
      </w:r>
    </w:p>
    <w:p>
      <w:r>
        <w:rPr>
          <w:b w:val="false"/>
          <w:bCs w:val="false"/>
        </w:rPr>
        <w:t xml:space="preserve">[PROVIDE: Saskatchewan business registration number]</w:t>
      </w:r>
    </w:p>
    <w:p>
      <w:r>
        <w:rPr>
          <w:b w:val="false"/>
          <w:bCs w:val="false"/>
        </w:rPr>
        <w:t xml:space="preserve">[PROVIDE: Years in business / date of incorporation]</w:t>
      </w:r>
    </w:p>
    <w:p>
      <w:r>
        <w:t xml:space="preserve"/>
      </w:r>
    </w:p>
    <w:p>
      <w:r>
        <w:rPr>
          <w:b w:val="false"/>
          <w:bCs w:val="false"/>
        </w:rPr>
        <w:t xml:space="preserve">---</w:t>
      </w:r>
    </w:p>
    <w:p>
      <w:r>
        <w:t xml:space="preserve"/>
      </w:r>
    </w:p>
    <w:p>
      <w:pPr>
        <w:pStyle w:val="Heading1"/>
      </w:pPr>
      <w:r>
        <w:rPr>
          <w:b w:val="false"/>
          <w:bCs w:val="false"/>
        </w:rPr>
        <w:t xml:space="preserve">3. Compliance Response</w:t>
      </w:r>
    </w:p>
    <w:p>
      <w:r>
        <w:t xml:space="preserve"/>
      </w:r>
    </w:p>
    <w:p>
      <w:r>
        <w:rPr>
          <w:b w:val="false"/>
          <w:bCs w:val="false"/>
        </w:rPr>
        <w:t xml:space="preserve">Each mandatory requirement group is addressed below. The requirement is restated with its page reference, followed by the compliance statement or a clearly marked gap.</w:t>
      </w:r>
    </w:p>
    <w:p>
      <w:r>
        <w:t xml:space="preserve"/>
      </w:r>
    </w:p>
    <w:p>
      <w:r>
        <w:rPr>
          <w:b w:val="false"/>
          <w:bCs w:val="false"/>
        </w:rPr>
        <w:t xml:space="preserve">---</w:t>
      </w:r>
    </w:p>
    <w:p>
      <w:r>
        <w:t xml:space="preserve"/>
      </w:r>
    </w:p>
    <w:p>
      <w:pPr>
        <w:pStyle w:val="Heading2"/>
      </w:pPr>
      <w:r>
        <w:rPr>
          <w:b w:val="false"/>
          <w:bCs w:val="false"/>
        </w:rPr>
        <w:t xml:space="preserve">3.1 Submission Authority &amp; Binding Commitment</w:t>
      </w:r>
    </w:p>
    <w:p>
      <w:r>
        <w:t xml:space="preserve"/>
      </w:r>
    </w:p>
    <w:p>
      <w:r>
        <w:rPr>
          <w:b/>
          <w:bCs/>
        </w:rPr>
        <w:t xml:space="preserve">Requirement [p.2, p.31, p.47]:</w:t>
      </w:r>
      <w:r>
        <w:rPr>
          <w:b w:val="false"/>
          <w:bCs w:val="false"/>
        </w:rPr>
        <w:t xml:space="preserve"> The Supplier Representative named in the submission must have authority to legally bind the Supplier. The bidder must agree to be bound by the terms and conditions and confirm authority to bind the Corporation.</w:t>
      </w:r>
    </w:p>
    <w:p>
      <w:r>
        <w:t xml:space="preserve"/>
      </w:r>
    </w:p>
    <w:p>
      <w:r>
        <w:rPr>
          <w:b/>
          <w:bCs/>
        </w:rPr>
        <w:t xml:space="preserve">How we comply:</w:t>
      </w:r>
      <w:r>
        <w:rPr>
          <w:b w:val="false"/>
          <w:bCs w:val="false"/>
        </w:rPr>
        <w:t xml:space="preserve"> Mohammed Yousuf Shariff, Principal of NimbleStride Inc., is the authorised signatory for this submission. He has full legal authority to bind NimbleStride Inc. to the terms and conditions of RFSQ 24-0345Y2 and any resulting Master Framework Agreement. By submitting this response through the bidding system, NimbleStride Inc. acknowledges and agrees to be bound by all terms and conditions set out in the RFSQ documents.</w:t>
      </w:r>
    </w:p>
    <w:p>
      <w:r>
        <w:t xml:space="preserve"/>
      </w:r>
    </w:p>
    <w:p>
      <w:r>
        <w:rPr>
          <w:b w:val="false"/>
          <w:bCs w:val="false"/>
        </w:rPr>
        <w:t xml:space="preserve">---</w:t>
      </w:r>
    </w:p>
    <w:p>
      <w:r>
        <w:t xml:space="preserve"/>
      </w:r>
    </w:p>
    <w:p>
      <w:pPr>
        <w:pStyle w:val="Heading2"/>
      </w:pPr>
      <w:r>
        <w:rPr>
          <w:b w:val="false"/>
          <w:bCs w:val="false"/>
        </w:rPr>
        <w:t xml:space="preserve">3.2 Single Legal Entity [p.35, p.52]</w:t>
      </w:r>
    </w:p>
    <w:p>
      <w:r>
        <w:t xml:space="preserve"/>
      </w:r>
    </w:p>
    <w:p>
      <w:r>
        <w:rPr>
          <w:b/>
          <w:bCs/>
        </w:rPr>
        <w:t xml:space="preserve">Requirement:</w:t>
      </w:r>
      <w:r>
        <w:rPr>
          <w:b w:val="false"/>
          <w:bCs w:val="false"/>
        </w:rPr>
        <w:t xml:space="preserve"> The respondent must be a single legal entity that, if selected, intends to enter into the Master Framework Agreement.</w:t>
      </w:r>
    </w:p>
    <w:p>
      <w:r>
        <w:t xml:space="preserve"/>
      </w:r>
    </w:p>
    <w:p>
      <w:r>
        <w:rPr>
          <w:b/>
          <w:bCs/>
        </w:rPr>
        <w:t xml:space="preserve">How we comply:</w:t>
      </w:r>
      <w:r>
        <w:rPr>
          <w:b w:val="false"/>
          <w:bCs w:val="false"/>
        </w:rPr>
        <w:t xml:space="preserve"> [CONFIRM: Designate one legal entity — NimbleStride Inc. or MGR Infotech — as the sole contracting party. Update all forms accordingly. Note that MGR Infotech appears to be a trade name, not a separately incorporated entity; confirm its legal status in Saskatchewan before submission.]</w:t>
      </w:r>
    </w:p>
    <w:p>
      <w:r>
        <w:t xml:space="preserve"/>
      </w:r>
    </w:p>
    <w:p>
      <w:r>
        <w:rPr>
          <w:b w:val="false"/>
          <w:bCs w:val="false"/>
        </w:rPr>
        <w:t xml:space="preserve">---</w:t>
      </w:r>
    </w:p>
    <w:p>
      <w:r>
        <w:t xml:space="preserve"/>
      </w:r>
    </w:p>
    <w:p>
      <w:pPr>
        <w:pStyle w:val="Heading2"/>
      </w:pPr>
      <w:r>
        <w:rPr>
          <w:b w:val="false"/>
          <w:bCs w:val="false"/>
        </w:rPr>
        <w:t xml:space="preserve">3.3 Electronic Submission [p.30, p.37, p.54–p.58]</w:t>
      </w:r>
    </w:p>
    <w:p>
      <w:r>
        <w:t xml:space="preserve"/>
      </w:r>
    </w:p>
    <w:p>
      <w:r>
        <w:rPr>
          <w:b/>
          <w:bCs/>
        </w:rPr>
        <w:t xml:space="preserve">Requirement:</w:t>
      </w:r>
      <w:r>
        <w:rPr>
          <w:b w:val="false"/>
          <w:bCs w:val="false"/>
        </w:rPr>
        <w:t xml:space="preserve"> Responses must be submitted electronically through saskatoon.bidsandtenders.ca on or before Monday, 31 August 2026, 2:00:59 PM CST. Submissions by other methods will not be accepted. Late submissions will be disqualified. Files must not be defective, corrupted, or contain embedded documents.</w:t>
      </w:r>
    </w:p>
    <w:p>
      <w:r>
        <w:t xml:space="preserve"/>
      </w:r>
    </w:p>
    <w:p>
      <w:r>
        <w:rPr>
          <w:b/>
          <w:bCs/>
        </w:rPr>
        <w:t xml:space="preserve">How we comply:</w:t>
      </w:r>
      <w:r>
        <w:rPr>
          <w:b w:val="false"/>
          <w:bCs w:val="false"/>
        </w:rPr>
        <w:t xml:space="preserve"> This response will be submitted exclusively through the bidding system at saskatoon.bidsandtenders.ca prior to the stated deadline. All uploaded files will be verified for accessibility before submission. No embedded files will be used. Documents will be prepared in English only, in accordance with p.41/p.63.</w:t>
      </w:r>
    </w:p>
    <w:p>
      <w:r>
        <w:t xml:space="preserve"/>
      </w:r>
    </w:p>
    <w:p>
      <w:r>
        <w:rPr>
          <w:b w:val="false"/>
          <w:bCs w:val="false"/>
        </w:rPr>
        <w:t xml:space="preserve">---</w:t>
      </w:r>
    </w:p>
    <w:p>
      <w:r>
        <w:t xml:space="preserve"/>
      </w:r>
    </w:p>
    <w:p>
      <w:pPr>
        <w:pStyle w:val="Heading2"/>
      </w:pPr>
      <w:r>
        <w:rPr>
          <w:b w:val="false"/>
          <w:bCs w:val="false"/>
        </w:rPr>
        <w:t xml:space="preserve">3.4 Mandatory Certification — Honeywell ProWatch [p.30, p.43, p.45]</w:t>
      </w:r>
    </w:p>
    <w:p>
      <w:r>
        <w:t xml:space="preserve"/>
      </w:r>
    </w:p>
    <w:p>
      <w:r>
        <w:rPr>
          <w:b/>
          <w:bCs/>
        </w:rPr>
        <w:t xml:space="preserve">Requirement:</w:t>
      </w:r>
      <w:r>
        <w:rPr>
          <w:b w:val="false"/>
          <w:bCs w:val="false"/>
        </w:rPr>
        <w:t xml:space="preserve"> Provide current Honeywell ProWatch certification with date of last training accompanying the certificate. This is a mandatory requirement.</w:t>
      </w:r>
    </w:p>
    <w:p>
      <w:r>
        <w:t xml:space="preserve"/>
      </w:r>
    </w:p>
    <w:p>
      <w:r>
        <w:rPr>
          <w:b/>
          <w:bCs/>
        </w:rPr>
        <w:t xml:space="preserve">How we comply:</w:t>
      </w:r>
      <w:r>
        <w:rPr>
          <w:b w:val="false"/>
          <w:bCs w:val="false"/>
        </w:rPr>
        <w:t xml:space="preserve"> ⚠️ </w:t>
      </w:r>
      <w:r>
        <w:rPr>
          <w:b/>
          <w:bCs/>
        </w:rPr>
        <w:t xml:space="preserve">[PROVIDE: Current Honeywell ProWatch certification for the named technician(s) who will perform work under this contract — include the certificate document and the date of last training. THIS IS A MANDATORY, NON-WAIVABLE REQUIREMENT. The dossier does not confirm this certification exists. Do not submit without resolving this gap. If certification is not currently held, it must be obtained before the submission deadline.]</w:t>
      </w:r>
    </w:p>
    <w:p>
      <w:r>
        <w:t xml:space="preserve"/>
      </w:r>
    </w:p>
    <w:p>
      <w:r>
        <w:rPr>
          <w:b w:val="false"/>
          <w:bCs w:val="false"/>
        </w:rPr>
        <w:t xml:space="preserve">---</w:t>
      </w:r>
    </w:p>
    <w:p>
      <w:r>
        <w:t xml:space="preserve"/>
      </w:r>
    </w:p>
    <w:p>
      <w:pPr>
        <w:pStyle w:val="Heading2"/>
      </w:pPr>
      <w:r>
        <w:rPr>
          <w:b w:val="false"/>
          <w:bCs w:val="false"/>
        </w:rPr>
        <w:t xml:space="preserve">3.5 Insurance [p.17, p.24–p.32, p.48, p.77]</w:t>
      </w:r>
    </w:p>
    <w:p>
      <w:r>
        <w:t xml:space="preserve"/>
      </w:r>
    </w:p>
    <w:p>
      <w:r>
        <w:rPr>
          <w:b/>
          <w:bCs/>
        </w:rPr>
        <w:t xml:space="preserve">Requirement:</w:t>
      </w:r>
      <w:r>
        <w:rPr>
          <w:b w:val="false"/>
          <w:bCs w:val="false"/>
        </w:rPr>
        <w:t xml:space="preserve"> The Supplier must maintain, at its own cost, insurance from an insurer with an A.M. Best rating of B+ or greater, including:</w:t>
      </w:r>
    </w:p>
    <w:p>
      <w:pPr>
        <w:pStyle w:val="ListParagraph"/>
        <w:numPr>
          <w:ilvl w:val="0"/>
          <w:numId w:val="1"/>
        </w:numPr>
      </w:pPr>
      <w:r>
        <w:rPr>
          <w:b w:val="false"/>
          <w:bCs w:val="false"/>
        </w:rPr>
        <w:t xml:space="preserve">Commercial General Liability (CGL): </w:t>
      </w:r>
      <w:r>
        <w:rPr>
          <w:b/>
          <w:bCs/>
        </w:rPr>
        <w:t xml:space="preserve">not less than $5,000,000 per occurrence</w:t>
      </w:r>
      <w:r>
        <w:rPr>
          <w:b w:val="false"/>
          <w:bCs w:val="false"/>
        </w:rPr>
        <w:t xml:space="preserve">, including products and completed operations liability</w:t>
      </w:r>
    </w:p>
    <w:p>
      <w:pPr>
        <w:pStyle w:val="ListParagraph"/>
        <w:numPr>
          <w:ilvl w:val="0"/>
          <w:numId w:val="1"/>
        </w:numPr>
      </w:pPr>
      <w:r>
        <w:rPr>
          <w:b w:val="false"/>
          <w:bCs w:val="false"/>
        </w:rPr>
        <w:t xml:space="preserve">Contractual liability coverage</w:t>
      </w:r>
    </w:p>
    <w:p>
      <w:pPr>
        <w:pStyle w:val="ListParagraph"/>
        <w:numPr>
          <w:ilvl w:val="0"/>
          <w:numId w:val="1"/>
        </w:numPr>
      </w:pPr>
      <w:r>
        <w:rPr>
          <w:b w:val="false"/>
          <w:bCs w:val="false"/>
        </w:rPr>
        <w:t xml:space="preserve">Cross-liability and severability of interests clause</w:t>
      </w:r>
    </w:p>
    <w:p>
      <w:pPr>
        <w:pStyle w:val="ListParagraph"/>
        <w:numPr>
          <w:ilvl w:val="0"/>
          <w:numId w:val="1"/>
        </w:numPr>
      </w:pPr>
      <w:r>
        <w:rPr>
          <w:b w:val="false"/>
          <w:bCs w:val="false"/>
        </w:rPr>
        <w:t xml:space="preserve">Employers liability coverage</w:t>
      </w:r>
    </w:p>
    <w:p>
      <w:pPr>
        <w:pStyle w:val="ListParagraph"/>
        <w:numPr>
          <w:ilvl w:val="0"/>
          <w:numId w:val="1"/>
        </w:numPr>
      </w:pPr>
      <w:r>
        <w:rPr>
          <w:b w:val="false"/>
          <w:bCs w:val="false"/>
        </w:rPr>
        <w:t xml:space="preserve">30-day written notice of cancellation, termination, or material change</w:t>
      </w:r>
    </w:p>
    <w:p>
      <w:pPr>
        <w:pStyle w:val="ListParagraph"/>
        <w:numPr>
          <w:ilvl w:val="0"/>
          <w:numId w:val="1"/>
        </w:numPr>
      </w:pPr>
      <w:r>
        <w:rPr>
          <w:b w:val="false"/>
          <w:bCs w:val="false"/>
        </w:rPr>
        <w:t xml:space="preserve">Non-owned automobile coverage with blanket contractual coverage for hired automobiles</w:t>
      </w:r>
    </w:p>
    <w:p>
      <w:r>
        <w:t xml:space="preserve"/>
      </w:r>
    </w:p>
    <w:p>
      <w:r>
        <w:rPr>
          <w:b w:val="false"/>
          <w:bCs w:val="false"/>
        </w:rPr>
        <w:t xml:space="preserve">Proof of insurance (certificates referencing the Contract) must be provided. Renewal certificates must be provided before expiry. Proof of General Liability Insurance is a pre-condition of award.</w:t>
      </w:r>
    </w:p>
    <w:p>
      <w:r>
        <w:t xml:space="preserve"/>
      </w:r>
    </w:p>
    <w:p>
      <w:r>
        <w:rPr>
          <w:b/>
          <w:bCs/>
        </w:rPr>
        <w:t xml:space="preserve">How we comply:</w:t>
      </w:r>
    </w:p>
    <w:p>
      <w:r>
        <w:t xml:space="preserve"/>
      </w:r>
    </w:p>
    <w:p>
      <w:r>
        <w:rPr>
          <w:b w:val="false"/>
          <w:bCs w:val="false"/>
        </w:rPr>
        <w:t xml:space="preserve">&gt; ⚠️ </w:t>
      </w:r>
      <w:r>
        <w:rPr>
          <w:b/>
          <w:bCs/>
        </w:rPr>
        <w:t xml:space="preserve">INSURANCE GAP — CRITICAL:</w:t>
      </w:r>
      <w:r>
        <w:rPr>
          <w:b w:val="false"/>
          <w:bCs w:val="false"/>
        </w:rPr>
        <w:t xml:space="preserve"> The dossier confirms CGL coverage of </w:t>
      </w:r>
      <w:r>
        <w:rPr>
          <w:b/>
          <w:bCs/>
        </w:rPr>
        <w:t xml:space="preserve">$2,000,000 per occurrence</w:t>
      </w:r>
      <w:r>
        <w:rPr>
          <w:b w:val="false"/>
          <w:bCs w:val="false"/>
        </w:rPr>
        <w:t xml:space="preserve">. The RFSQ mandates </w:t>
      </w:r>
      <w:r>
        <w:rPr>
          <w:b/>
          <w:bCs/>
        </w:rPr>
        <w:t xml:space="preserve">$5,000,000 per occurrence</w:t>
      </w:r>
      <w:r>
        <w:rPr>
          <w:b w:val="false"/>
          <w:bCs w:val="false"/>
        </w:rPr>
        <w:t xml:space="preserve">. This is a </w:t>
      </w:r>
      <w:r>
        <w:rPr>
          <w:b/>
          <w:bCs/>
        </w:rPr>
        <w:t xml:space="preserve">$3,000,000 shortfall</w:t>
      </w:r>
      <w:r>
        <w:rPr>
          <w:b w:val="false"/>
          <w:bCs w:val="false"/>
        </w:rPr>
        <w:t xml:space="preserve"> and is a mandatory requirement. </w:t>
      </w:r>
      <w:r>
        <w:rPr>
          <w:b/>
          <w:bCs/>
        </w:rPr>
        <w:t xml:space="preserve">The CGL limit must be increased to $5,000,000 before submission or, at minimum, before contract award.</w:t>
      </w:r>
    </w:p>
    <w:p>
      <w:r>
        <w:t xml:space="preserve"/>
      </w:r>
    </w:p>
    <w:p>
      <w:r>
        <w:rPr>
          <w:b w:val="false"/>
          <w:bCs w:val="false"/>
        </w:rPr>
        <w:t xml:space="preserve">[PROVIDE: Contact your insurer immediately to:</w:t>
      </w:r>
    </w:p>
    <w:p>
      <w:r>
        <w:rPr>
          <w:b w:val="false"/>
          <w:bCs w:val="false"/>
        </w:rPr>
        <w:t xml:space="preserve">Increase CGL limit to $5,000,000 per occurrence</w:t>
      </w:r>
    </w:p>
    <w:p>
      <w:r>
        <w:rPr>
          <w:b w:val="false"/>
          <w:bCs w:val="false"/>
        </w:rPr>
        <w:t xml:space="preserve">Add contractual liability coverage</w:t>
      </w:r>
    </w:p>
    <w:p>
      <w:r>
        <w:rPr>
          <w:b w:val="false"/>
          <w:bCs w:val="false"/>
        </w:rPr>
        <w:t xml:space="preserve">Add cross-liability and severability of interests clause</w:t>
      </w:r>
    </w:p>
    <w:p>
      <w:r>
        <w:rPr>
          <w:b w:val="false"/>
          <w:bCs w:val="false"/>
        </w:rPr>
        <w:t xml:space="preserve">Confirm employers liability coverage</w:t>
      </w:r>
    </w:p>
    <w:p>
      <w:r>
        <w:rPr>
          <w:b w:val="false"/>
          <w:bCs w:val="false"/>
        </w:rPr>
        <w:t xml:space="preserve">Add 30-day cancellation notice endorsement</w:t>
      </w:r>
    </w:p>
    <w:p>
      <w:r>
        <w:rPr>
          <w:b w:val="false"/>
          <w:bCs w:val="false"/>
        </w:rPr>
        <w:t xml:space="preserve">Add non-owned automobile coverage with hired automobile contractual coverage</w:t>
      </w:r>
    </w:p>
    <w:p>
      <w:r>
        <w:rPr>
          <w:b w:val="false"/>
          <w:bCs w:val="false"/>
        </w:rPr>
        <w:t xml:space="preserve">Obtain a certificate of insurance naming the City of Saskatoon as additional insured, referencing RFSQ 24-0345Y2</w:t>
      </w:r>
    </w:p>
    <w:p>
      <w:r>
        <w:rPr>
          <w:b w:val="false"/>
          <w:bCs w:val="false"/>
        </w:rPr>
        <w:t xml:space="preserve">Confirm insurer's A.M. Best rating of B+ or greater</w:t>
      </w:r>
    </w:p>
    <w:p>
      <w:r>
        <w:rPr>
          <w:b w:val="false"/>
          <w:bCs w:val="false"/>
        </w:rPr>
        <w:t xml:space="preserve">Provide insurer name, policy number, and certificate expiry date]</w:t>
      </w:r>
    </w:p>
    <w:p>
      <w:r>
        <w:t xml:space="preserve"/>
      </w:r>
    </w:p>
    <w:p>
      <w:r>
        <w:rPr>
          <w:b w:val="false"/>
          <w:bCs w:val="false"/>
        </w:rPr>
        <w:t xml:space="preserve">---</w:t>
      </w:r>
    </w:p>
    <w:p>
      <w:r>
        <w:t xml:space="preserve"/>
      </w:r>
    </w:p>
    <w:p>
      <w:pPr>
        <w:pStyle w:val="Heading2"/>
      </w:pPr>
      <w:r>
        <w:rPr>
          <w:b w:val="false"/>
          <w:bCs w:val="false"/>
        </w:rPr>
        <w:t xml:space="preserve">3.6 Workplace Safety Insurance / WCB [p.18, p.33]</w:t>
      </w:r>
    </w:p>
    <w:p>
      <w:r>
        <w:t xml:space="preserve"/>
      </w:r>
    </w:p>
    <w:p>
      <w:r>
        <w:rPr>
          <w:b/>
          <w:bCs/>
        </w:rPr>
        <w:t xml:space="preserve">Requirement:</w:t>
      </w:r>
      <w:r>
        <w:rPr>
          <w:b w:val="false"/>
          <w:bCs w:val="false"/>
        </w:rPr>
        <w:t xml:space="preserve"> The Supplier shall pay, and ensure subcontractors pay, all amounts required under applicable workplace safety and insurance laws during the Term.</w:t>
      </w:r>
    </w:p>
    <w:p>
      <w:r>
        <w:t xml:space="preserve"/>
      </w:r>
    </w:p>
    <w:p>
      <w:r>
        <w:rPr>
          <w:b/>
          <w:bCs/>
        </w:rPr>
        <w:t xml:space="preserve">How we comply:</w:t>
      </w:r>
      <w:r>
        <w:rPr>
          <w:b w:val="false"/>
          <w:bCs w:val="false"/>
        </w:rPr>
        <w:t xml:space="preserve"> NimbleStride Inc. / MGR Infotech commits to maintaining all required workplace safety and insurance contributions under applicable Saskatchewan and Alberta legislation throughout the contract term, and to ensuring any subcontractors do the same.</w:t>
      </w:r>
    </w:p>
    <w:p>
      <w:r>
        <w:t xml:space="preserve"/>
      </w:r>
    </w:p>
    <w:p>
      <w:r>
        <w:rPr>
          <w:b w:val="false"/>
          <w:bCs w:val="false"/>
        </w:rPr>
        <w:t xml:space="preserve">[PROVIDE: WCB account number (Saskatchewan WCB and/or Alberta WCB as applicable). Confirm current good standing with WCB. A WCB clearance letter may be required as a pre-condition of award.]</w:t>
      </w:r>
    </w:p>
    <w:p>
      <w:r>
        <w:t xml:space="preserve"/>
      </w:r>
    </w:p>
    <w:p>
      <w:r>
        <w:rPr>
          <w:b w:val="false"/>
          <w:bCs w:val="false"/>
        </w:rPr>
        <w:t xml:space="preserve">---</w:t>
      </w:r>
    </w:p>
    <w:p>
      <w:r>
        <w:t xml:space="preserve"/>
      </w:r>
    </w:p>
    <w:p>
      <w:pPr>
        <w:pStyle w:val="Heading2"/>
      </w:pPr>
      <w:r>
        <w:rPr>
          <w:b w:val="false"/>
          <w:bCs w:val="false"/>
        </w:rPr>
        <w:t xml:space="preserve">3.7 Conflict of Interest [p.10, p.31, p.44, p.48, p.66]</w:t>
      </w:r>
    </w:p>
    <w:p>
      <w:r>
        <w:t xml:space="preserve"/>
      </w:r>
    </w:p>
    <w:p>
      <w:r>
        <w:rPr>
          <w:b/>
          <w:bCs/>
        </w:rPr>
        <w:t xml:space="preserve">Requirement:</w:t>
      </w:r>
      <w:r>
        <w:rPr>
          <w:b w:val="false"/>
          <w:bCs w:val="false"/>
        </w:rPr>
        <w:t xml:space="preserve"> The Supplier must: (a) avoid any Conflict of Interest; (b) disclose without delay any actual or potential Conflict of Interest; (c) comply with any City requirements to resolve a Conflict of Interest. The bidder must declare all potential Conflicts of Interest as defined in section 3.4 of the RFSQ, including disclosing names of individuals who (a) participated in preparing the proposal AND (b) were City of Saskatoon employees within 12 months prior to the Submission Deadline. Respondents must not engage in lobbying or media communications.</w:t>
      </w:r>
    </w:p>
    <w:p>
      <w:r>
        <w:t xml:space="preserve"/>
      </w:r>
    </w:p>
    <w:p>
      <w:r>
        <w:rPr>
          <w:b/>
          <w:bCs/>
        </w:rPr>
        <w:t xml:space="preserve">How we comply:</w:t>
      </w:r>
      <w:r>
        <w:rPr>
          <w:b w:val="false"/>
          <w:bCs w:val="false"/>
        </w:rPr>
        <w:t xml:space="preserve"> NimbleStride Inc. and MGR Infotech confirm that, to the best of their knowledge, no actual, potential, or perceived conflict of interest exists with respect to this procurement. Neither entity, nor principal Mohammed Yousuf Shariff, holds a current employment, financial, or familial relationship with any employee of the City of Saskatoon that could improperly influence the award or delivery of this contract.</w:t>
      </w:r>
    </w:p>
    <w:p>
      <w:r>
        <w:t xml:space="preserve"/>
      </w:r>
    </w:p>
    <w:p>
      <w:r>
        <w:rPr>
          <w:b/>
          <w:bCs/>
        </w:rPr>
        <w:t xml:space="preserve">Individuals who participated in preparing this proposal:</w:t>
      </w:r>
    </w:p>
    <w:p>
      <w:pPr>
        <w:pStyle w:val="ListParagraph"/>
        <w:numPr>
          <w:ilvl w:val="0"/>
          <w:numId w:val="1"/>
        </w:numPr>
      </w:pPr>
      <w:r>
        <w:rPr>
          <w:b w:val="false"/>
          <w:bCs w:val="false"/>
        </w:rPr>
        <w:t xml:space="preserve">Mohammed Yousuf Shariff, Principal, NimbleStride Inc.</w:t>
      </w:r>
    </w:p>
    <w:p>
      <w:r>
        <w:t xml:space="preserve"/>
      </w:r>
    </w:p>
    <w:p>
      <w:r>
        <w:rPr>
          <w:b w:val="false"/>
          <w:bCs w:val="false"/>
        </w:rPr>
        <w:t xml:space="preserve">[PROVIDE: Confirm that none of the above individuals were employees of the City of Saskatoon within the 12 months prior to 31 August 2026. If any were, disclose full details.]</w:t>
      </w:r>
    </w:p>
    <w:p>
      <w:r>
        <w:t xml:space="preserve"/>
      </w:r>
    </w:p>
    <w:p>
      <w:r>
        <w:rPr>
          <w:b w:val="false"/>
          <w:bCs w:val="false"/>
        </w:rPr>
        <w:t xml:space="preserve">Should any conflict arise during the engagement, NimbleStride Inc. commits to disclosing it immediately in writing to the City's designated contract authority. NimbleStride Inc. confirms it has not engaged in and will not engage in any lobbying or media communications in relation to this RFSQ.</w:t>
      </w:r>
    </w:p>
    <w:p>
      <w:r>
        <w:t xml:space="preserve"/>
      </w:r>
    </w:p>
    <w:p>
      <w:r>
        <w:rPr>
          <w:b w:val="false"/>
          <w:bCs w:val="false"/>
        </w:rPr>
        <w:t xml:space="preserve">[PROVIDE: Complete and sign the Conflict of Interest declaration in Appendix C — Submission Form.]</w:t>
      </w:r>
    </w:p>
    <w:p>
      <w:r>
        <w:t xml:space="preserve"/>
      </w:r>
    </w:p>
    <w:p>
      <w:r>
        <w:rPr>
          <w:b w:val="false"/>
          <w:bCs w:val="false"/>
        </w:rPr>
        <w:t xml:space="preserve">---</w:t>
      </w:r>
    </w:p>
    <w:p>
      <w:r>
        <w:t xml:space="preserve"/>
      </w:r>
    </w:p>
    <w:p>
      <w:pPr>
        <w:pStyle w:val="Heading2"/>
      </w:pPr>
      <w:r>
        <w:rPr>
          <w:b w:val="false"/>
          <w:bCs w:val="false"/>
        </w:rPr>
        <w:t xml:space="preserve">3.8 Subcontracting [p.10]</w:t>
      </w:r>
    </w:p>
    <w:p>
      <w:r>
        <w:t xml:space="preserve"/>
      </w:r>
    </w:p>
    <w:p>
      <w:r>
        <w:rPr>
          <w:b/>
          <w:bCs/>
        </w:rPr>
        <w:t xml:space="preserve">Requirement:</w:t>
      </w:r>
      <w:r>
        <w:rPr>
          <w:b w:val="false"/>
          <w:bCs w:val="false"/>
        </w:rPr>
        <w:t xml:space="preserve"> The Supplier shall not subcontract or assign the whole or any part of the Contract or any monies due under it without the prior written consent of the City.</w:t>
      </w:r>
    </w:p>
    <w:p>
      <w:r>
        <w:t xml:space="preserve"/>
      </w:r>
    </w:p>
    <w:p>
      <w:r>
        <w:rPr>
          <w:b/>
          <w:bCs/>
        </w:rPr>
        <w:t xml:space="preserve">How we comply:</w:t>
      </w:r>
      <w:r>
        <w:rPr>
          <w:b w:val="false"/>
          <w:bCs w:val="false"/>
        </w:rPr>
        <w:t xml:space="preserve"> NimbleStride Inc. acknowledges and agrees that no subcontracting or assignment of any portion of the Contract will occur without prior written consent from the City of Saskatoon. Any proposed subcontractors will be disclosed to the City and will be subject to the same criminal record check, safety, and confidentiality requirements as direct employees.</w:t>
      </w:r>
    </w:p>
    <w:p>
      <w:r>
        <w:t xml:space="preserve"/>
      </w:r>
    </w:p>
    <w:p>
      <w:r>
        <w:rPr>
          <w:b w:val="false"/>
          <w:bCs w:val="false"/>
        </w:rPr>
        <w:t xml:space="preserve">[PROVIDE: If specific subcontractors or associate technicians are intended for this engagement, name them here and confirm they hold Honeywell ProWatch certification and have completed asbestos awareness training.]</w:t>
      </w:r>
    </w:p>
    <w:p>
      <w:r>
        <w:t xml:space="preserve"/>
      </w:r>
    </w:p>
    <w:p>
      <w:r>
        <w:rPr>
          <w:b w:val="false"/>
          <w:bCs w:val="false"/>
        </w:rPr>
        <w:t xml:space="preserve">---</w:t>
      </w:r>
    </w:p>
    <w:p>
      <w:r>
        <w:t xml:space="preserve"/>
      </w:r>
    </w:p>
    <w:p>
      <w:pPr>
        <w:pStyle w:val="Heading2"/>
      </w:pPr>
      <w:r>
        <w:rPr>
          <w:b w:val="false"/>
          <w:bCs w:val="false"/>
        </w:rPr>
        <w:t xml:space="preserve">3.9 Personnel Requirements [p.12]</w:t>
      </w:r>
    </w:p>
    <w:p>
      <w:r>
        <w:t xml:space="preserve"/>
      </w:r>
    </w:p>
    <w:p>
      <w:r>
        <w:rPr>
          <w:b/>
          <w:bCs/>
        </w:rPr>
        <w:t xml:space="preserve">Requirement:</w:t>
      </w:r>
      <w:r>
        <w:rPr>
          <w:b w:val="false"/>
          <w:bCs w:val="false"/>
        </w:rPr>
        <w:t xml:space="preserve"> Specific individuals named in the Contract shall be the only individuals providing Deliverables. Substitution requires prior written City approval. Replacements must have similar or greater qualifications. Fees for replacements shall not exceed established Contract Rates.</w:t>
      </w:r>
    </w:p>
    <w:p>
      <w:r>
        <w:t xml:space="preserve"/>
      </w:r>
    </w:p>
    <w:p>
      <w:r>
        <w:rPr>
          <w:b/>
          <w:bCs/>
        </w:rPr>
        <w:t xml:space="preserve">How we comply:</w:t>
      </w:r>
      <w:r>
        <w:rPr>
          <w:b w:val="false"/>
          <w:bCs w:val="false"/>
        </w:rPr>
        <w:t xml:space="preserve"> NimbleStride Inc. acknowledges and agrees to all personnel requirements. Named individuals will be identified in the Contract and will not be substituted without prior written City approval. Any proposed replacement will possess qualifications equal to or greater than the named individual. Fees for any replacement will not exceed the rates established in the Contract.</w:t>
      </w:r>
    </w:p>
    <w:p>
      <w:r>
        <w:t xml:space="preserve"/>
      </w:r>
    </w:p>
    <w:p>
      <w:r>
        <w:rPr>
          <w:b w:val="false"/>
          <w:bCs w:val="false"/>
        </w:rPr>
        <w:t xml:space="preserve">[PROVIDE: Name the specific technician(s) and/or project manager to be named in the Contract for this engagement — include their Honeywell ProWatch certification details, roles, and availability. Mohammed Yousuf Shariff is available as Delivery Lead; a certified ProWatch technician must also be named.]</w:t>
      </w:r>
    </w:p>
    <w:p>
      <w:r>
        <w:t xml:space="preserve"/>
      </w:r>
    </w:p>
    <w:p>
      <w:r>
        <w:rPr>
          <w:b w:val="false"/>
          <w:bCs w:val="false"/>
        </w:rPr>
        <w:t xml:space="preserve">---</w:t>
      </w:r>
    </w:p>
    <w:p>
      <w:r>
        <w:t xml:space="preserve"/>
      </w:r>
    </w:p>
    <w:p>
      <w:pPr>
        <w:pStyle w:val="Heading2"/>
      </w:pPr>
      <w:r>
        <w:rPr>
          <w:b w:val="false"/>
          <w:bCs w:val="false"/>
        </w:rPr>
        <w:t xml:space="preserve">3.10 Records Retention &amp; Audit [p.13]</w:t>
      </w:r>
    </w:p>
    <w:p>
      <w:r>
        <w:t xml:space="preserve"/>
      </w:r>
    </w:p>
    <w:p>
      <w:r>
        <w:rPr>
          <w:b/>
          <w:bCs/>
        </w:rPr>
        <w:t xml:space="preserve">Requirement:</w:t>
      </w:r>
      <w:r>
        <w:rPr>
          <w:b w:val="false"/>
          <w:bCs w:val="false"/>
        </w:rPr>
        <w:t xml:space="preserve"> For seven (7) years after contract expiry or termination, the Supplier must maintain all records substantiating charges, payments, and delivery of Deliverables in accordance with the Contract and Requirements of Law. The Supplier must permit and assist the City in conducting audits during the Term and for seven (7) years after expiry or termination.</w:t>
      </w:r>
    </w:p>
    <w:p>
      <w:r>
        <w:t xml:space="preserve"/>
      </w:r>
    </w:p>
    <w:p>
      <w:r>
        <w:rPr>
          <w:b/>
          <w:bCs/>
        </w:rPr>
        <w:t xml:space="preserve">How we comply:</w:t>
      </w:r>
      <w:r>
        <w:rPr>
          <w:b w:val="false"/>
          <w:bCs w:val="false"/>
        </w:rPr>
        <w:t xml:space="preserve"> NimbleStride Inc. confirms it will maintain all required records for a minimum of seven (7) years following contract expiry or termination, and will permit and assist the City of Saskatoon in conducting audits of its operations to verify charges, payments, and delivery performance throughout that period. Records will be stored securely on Canadian-region infrastructure.</w:t>
      </w:r>
    </w:p>
    <w:p>
      <w:r>
        <w:t xml:space="preserve"/>
      </w:r>
    </w:p>
    <w:p>
      <w:r>
        <w:rPr>
          <w:b w:val="false"/>
          <w:bCs w:val="false"/>
        </w:rPr>
        <w:t xml:space="preserve">---</w:t>
      </w:r>
    </w:p>
    <w:p>
      <w:r>
        <w:t xml:space="preserve"/>
      </w:r>
    </w:p>
    <w:p>
      <w:pPr>
        <w:pStyle w:val="Heading2"/>
      </w:pPr>
      <w:r>
        <w:rPr>
          <w:b w:val="false"/>
          <w:bCs w:val="false"/>
        </w:rPr>
        <w:t xml:space="preserve">3.11 Confidentiality &amp; City Confidential Information [p.14–p.15]</w:t>
      </w:r>
    </w:p>
    <w:p>
      <w:r>
        <w:t xml:space="preserve"/>
      </w:r>
    </w:p>
    <w:p>
      <w:r>
        <w:rPr>
          <w:b/>
          <w:bCs/>
        </w:rPr>
        <w:t xml:space="preserve">Requirement:</w:t>
      </w:r>
      <w:r>
        <w:rPr>
          <w:b w:val="false"/>
          <w:bCs w:val="false"/>
        </w:rPr>
        <w:t xml:space="preserve"> The Supplier must keep all City Confidential Information confidential and secure; limit disclosure to those with a need to know who are specifically authorised; not disclose, destroy, exploit, or use City Confidential Information without written consent; return all City Confidential Information on or before contract expiry or termination; not copy City Confidential Information unless essential; reproduce all notices on copies; and notify the City promptly upon discovery of any loss, unauthorised disclosure, access, or use.</w:t>
      </w:r>
    </w:p>
    <w:p>
      <w:r>
        <w:t xml:space="preserve"/>
      </w:r>
    </w:p>
    <w:p>
      <w:r>
        <w:rPr>
          <w:b/>
          <w:bCs/>
        </w:rPr>
        <w:t xml:space="preserve">How we comply:</w:t>
      </w:r>
      <w:r>
        <w:rPr>
          <w:b w:val="false"/>
          <w:bCs w:val="false"/>
        </w:rPr>
        <w:t xml:space="preserve"> NimbleStride Inc. confirms full compliance with all confidentiality obligations. City Confidential Information will be:</w:t>
      </w:r>
    </w:p>
    <w:p>
      <w:pPr>
        <w:pStyle w:val="ListParagraph"/>
        <w:numPr>
          <w:ilvl w:val="0"/>
          <w:numId w:val="1"/>
        </w:numPr>
      </w:pPr>
      <w:r>
        <w:rPr>
          <w:b w:val="false"/>
          <w:bCs w:val="false"/>
        </w:rPr>
        <w:t xml:space="preserve">Kept confidential and secure at all times</w:t>
      </w:r>
    </w:p>
    <w:p>
      <w:pPr>
        <w:pStyle w:val="ListParagraph"/>
        <w:numPr>
          <w:ilvl w:val="0"/>
          <w:numId w:val="1"/>
        </w:numPr>
      </w:pPr>
      <w:r>
        <w:rPr>
          <w:b w:val="false"/>
          <w:bCs w:val="false"/>
        </w:rPr>
        <w:t xml:space="preserve">Disclosed only to authorised personnel with a demonstrated need to know</w:t>
      </w:r>
    </w:p>
    <w:p>
      <w:pPr>
        <w:pStyle w:val="ListParagraph"/>
        <w:numPr>
          <w:ilvl w:val="0"/>
          <w:numId w:val="1"/>
        </w:numPr>
      </w:pPr>
      <w:r>
        <w:rPr>
          <w:b w:val="false"/>
          <w:bCs w:val="false"/>
        </w:rPr>
        <w:t xml:space="preserve">Not copied except where essential for delivery of Deliverables; all notices reproduced on copies</w:t>
      </w:r>
    </w:p>
    <w:p>
      <w:pPr>
        <w:pStyle w:val="ListParagraph"/>
        <w:numPr>
          <w:ilvl w:val="0"/>
          <w:numId w:val="1"/>
        </w:numPr>
      </w:pPr>
      <w:r>
        <w:rPr>
          <w:b w:val="false"/>
          <w:bCs w:val="false"/>
        </w:rPr>
        <w:t xml:space="preserve">Returned to the City in full on or before contract expiry or termination, with no copies retained</w:t>
      </w:r>
    </w:p>
    <w:p>
      <w:pPr>
        <w:pStyle w:val="ListParagraph"/>
        <w:numPr>
          <w:ilvl w:val="0"/>
          <w:numId w:val="1"/>
        </w:numPr>
      </w:pPr>
      <w:r>
        <w:rPr>
          <w:b w:val="false"/>
          <w:bCs w:val="false"/>
        </w:rPr>
        <w:t xml:space="preserve">Subject to immediate written notification to the City upon discovery of any loss, unauthorised disclosure, unauthorised access, or unauthorised use</w:t>
      </w:r>
    </w:p>
    <w:p>
      <w:r>
        <w:t xml:space="preserve"/>
      </w:r>
    </w:p>
    <w:p>
      <w:r>
        <w:rPr>
          <w:b w:val="false"/>
          <w:bCs w:val="false"/>
        </w:rPr>
        <w:t xml:space="preserve">These obligations survive termination or expiry of the Contract.</w:t>
      </w:r>
    </w:p>
    <w:p>
      <w:r>
        <w:t xml:space="preserve"/>
      </w:r>
    </w:p>
    <w:p>
      <w:r>
        <w:rPr>
          <w:b w:val="false"/>
          <w:bCs w:val="false"/>
        </w:rPr>
        <w:t xml:space="preserve">---</w:t>
      </w:r>
    </w:p>
    <w:p>
      <w:r>
        <w:t xml:space="preserve"/>
      </w:r>
    </w:p>
    <w:p>
      <w:pPr>
        <w:pStyle w:val="Heading2"/>
      </w:pPr>
      <w:r>
        <w:rPr>
          <w:b w:val="false"/>
          <w:bCs w:val="false"/>
        </w:rPr>
        <w:t xml:space="preserve">3.12 Personal Information &amp; Records (LAFOIP) [p.15]</w:t>
      </w:r>
    </w:p>
    <w:p>
      <w:r>
        <w:t xml:space="preserve"/>
      </w:r>
    </w:p>
    <w:p>
      <w:r>
        <w:rPr>
          <w:b/>
          <w:bCs/>
        </w:rPr>
        <w:t xml:space="preserve">Requirement:</w:t>
      </w:r>
      <w:r>
        <w:rPr>
          <w:b w:val="false"/>
          <w:bCs w:val="false"/>
        </w:rPr>
        <w:t xml:space="preserve"> The Supplier must keep Records secure; provide Records to the City within seven (7) calendar days of direction; not access Personal Information unless City-authorised; not use, collect, disclose, or destroy Personal Information for unauthorised purposes; ensure security and integrity of Personal Information; restrict access to authorised personnel only; and implement security measures as reasonably required by the City.</w:t>
      </w:r>
    </w:p>
    <w:p>
      <w:r>
        <w:t xml:space="preserve"/>
      </w:r>
    </w:p>
    <w:p>
      <w:r>
        <w:rPr>
          <w:b/>
          <w:bCs/>
        </w:rPr>
        <w:t xml:space="preserve">How we comply:</w:t>
      </w:r>
      <w:r>
        <w:rPr>
          <w:b w:val="false"/>
          <w:bCs w:val="false"/>
        </w:rPr>
        <w:t xml:space="preserve"> NimbleStride Inc. handles personal information in accordance with applicable Canadian privacy legislation, including Saskatchewan's Local Authority Freedom of Information and Protection of Privacy Act (LAFOIP) and the federal PIPEDA. Our practices include:</w:t>
      </w:r>
    </w:p>
    <w:p>
      <w:pPr>
        <w:pStyle w:val="ListParagraph"/>
        <w:numPr>
          <w:ilvl w:val="0"/>
          <w:numId w:val="1"/>
        </w:numPr>
      </w:pPr>
      <w:r>
        <w:rPr>
          <w:b w:val="false"/>
          <w:bCs w:val="false"/>
        </w:rPr>
        <w:t xml:space="preserve">Collecting only minimum personal data necessary for the stated purpose</w:t>
      </w:r>
    </w:p>
    <w:p>
      <w:pPr>
        <w:pStyle w:val="ListParagraph"/>
        <w:numPr>
          <w:ilvl w:val="0"/>
          <w:numId w:val="1"/>
        </w:numPr>
      </w:pPr>
      <w:r>
        <w:rPr>
          <w:b w:val="false"/>
          <w:bCs w:val="false"/>
        </w:rPr>
        <w:t xml:space="preserve">Storing all personal data on Canadian-region cloud infrastructure (no cross-border transfer without explicit authorisation)</w:t>
      </w:r>
    </w:p>
    <w:p>
      <w:pPr>
        <w:pStyle w:val="ListParagraph"/>
        <w:numPr>
          <w:ilvl w:val="0"/>
          <w:numId w:val="1"/>
        </w:numPr>
      </w:pPr>
      <w:r>
        <w:rPr>
          <w:b w:val="false"/>
          <w:bCs w:val="false"/>
        </w:rPr>
        <w:t xml:space="preserve">Applying role-based, least-privilege access controls</w:t>
      </w:r>
    </w:p>
    <w:p>
      <w:pPr>
        <w:pStyle w:val="ListParagraph"/>
        <w:numPr>
          <w:ilvl w:val="0"/>
          <w:numId w:val="1"/>
        </w:numPr>
      </w:pPr>
      <w:r>
        <w:rPr>
          <w:b w:val="false"/>
          <w:bCs w:val="false"/>
        </w:rPr>
        <w:t xml:space="preserve">Logging access for audit purposes</w:t>
      </w:r>
    </w:p>
    <w:p>
      <w:pPr>
        <w:pStyle w:val="ListParagraph"/>
        <w:numPr>
          <w:ilvl w:val="0"/>
          <w:numId w:val="1"/>
        </w:numPr>
      </w:pPr>
      <w:r>
        <w:rPr>
          <w:b w:val="false"/>
          <w:bCs w:val="false"/>
        </w:rPr>
        <w:t xml:space="preserve">Providing Records to the City within seven (7) calendar days of direction</w:t>
      </w:r>
    </w:p>
    <w:p>
      <w:pPr>
        <w:pStyle w:val="ListParagraph"/>
        <w:numPr>
          <w:ilvl w:val="0"/>
          <w:numId w:val="1"/>
        </w:numPr>
      </w:pPr>
      <w:r>
        <w:rPr>
          <w:b w:val="false"/>
          <w:bCs w:val="false"/>
        </w:rPr>
        <w:t xml:space="preserve">Securely deleting or returning personal data at contract end in accordance with the City's data-retention schedule</w:t>
      </w:r>
    </w:p>
    <w:p>
      <w:r>
        <w:t xml:space="preserve"/>
      </w:r>
    </w:p>
    <w:p>
      <w:r>
        <w:rPr>
          <w:b w:val="false"/>
          <w:bCs w:val="false"/>
        </w:rPr>
        <w:t xml:space="preserve">[PROVIDE: Confirm whether this engagement involves Protected A, Protected B, or higher-classified data, and supply any Security Requirements Checklist (SRC) so that specific control attestations can be completed.]</w:t>
      </w:r>
    </w:p>
    <w:p>
      <w:r>
        <w:t xml:space="preserve"/>
      </w:r>
    </w:p>
    <w:p>
      <w:r>
        <w:rPr>
          <w:b w:val="false"/>
          <w:bCs w:val="false"/>
        </w:rPr>
        <w:t xml:space="preserve">---</w:t>
      </w:r>
    </w:p>
    <w:p>
      <w:r>
        <w:t xml:space="preserve"/>
      </w:r>
    </w:p>
    <w:p>
      <w:pPr>
        <w:pStyle w:val="Heading2"/>
      </w:pPr>
      <w:r>
        <w:rPr>
          <w:b w:val="false"/>
          <w:bCs w:val="false"/>
        </w:rPr>
        <w:t xml:space="preserve">3.13 City Insignia, Logos &amp; Media [p.14, p.16, p.44, p.67]</w:t>
      </w:r>
    </w:p>
    <w:p>
      <w:r>
        <w:t xml:space="preserve"/>
      </w:r>
    </w:p>
    <w:p>
      <w:r>
        <w:rPr>
          <w:b/>
          <w:bCs/>
        </w:rPr>
        <w:t xml:space="preserve">Requirement:</w:t>
      </w:r>
      <w:r>
        <w:rPr>
          <w:b w:val="false"/>
          <w:bCs w:val="false"/>
        </w:rPr>
        <w:t xml:space="preserve"> The Supplier shall not use City insignia or logos without prior written permission. The Supplier shall not make use of its association with the City without prior written consent. The Supplier shall not communicate with the media in relation to the Contract without express written authorisation from the City.</w:t>
      </w:r>
    </w:p>
    <w:p>
      <w:r>
        <w:t xml:space="preserve"/>
      </w:r>
    </w:p>
    <w:p>
      <w:r>
        <w:rPr>
          <w:b/>
          <w:bCs/>
        </w:rPr>
        <w:t xml:space="preserve">How we comply:</w:t>
      </w:r>
      <w:r>
        <w:rPr>
          <w:b w:val="false"/>
          <w:bCs w:val="false"/>
        </w:rPr>
        <w:t xml:space="preserve"> NimbleStride Inc. confirms it will not use any City of Saskatoon insignia, logos, or branding, and will not reference its association with the City in any public communications, without prior written consent. No media communications relating to this Contract will be made without express written authorisation from the City.</w:t>
      </w:r>
    </w:p>
    <w:p>
      <w:r>
        <w:t xml:space="preserve"/>
      </w:r>
    </w:p>
    <w:p>
      <w:r>
        <w:rPr>
          <w:b w:val="false"/>
          <w:bCs w:val="false"/>
        </w:rPr>
        <w:t xml:space="preserve">---</w:t>
      </w:r>
    </w:p>
    <w:p>
      <w:r>
        <w:t xml:space="preserve"/>
      </w:r>
    </w:p>
    <w:p>
      <w:pPr>
        <w:pStyle w:val="Heading2"/>
      </w:pPr>
      <w:r>
        <w:rPr>
          <w:b w:val="false"/>
          <w:bCs w:val="false"/>
        </w:rPr>
        <w:t xml:space="preserve">3.14 Intellectual Property &amp; Deliverables [p.16]</w:t>
      </w:r>
    </w:p>
    <w:p>
      <w:r>
        <w:t xml:space="preserve"/>
      </w:r>
    </w:p>
    <w:p>
      <w:r>
        <w:rPr>
          <w:b/>
          <w:bCs/>
        </w:rPr>
        <w:t xml:space="preserve">Requirement:</w:t>
      </w:r>
      <w:r>
        <w:rPr>
          <w:b w:val="false"/>
          <w:bCs w:val="false"/>
        </w:rPr>
        <w:t xml:space="preserve"> The Supplier shall not incorporate into any Deliverables anything that would restrict the City's right to modify, further develop, or otherwise use the Deliverables, or that would prevent the City from contracting with any other contractor for modification or further development of the Deliverables. These obligations survive termination or expiry.</w:t>
      </w:r>
    </w:p>
    <w:p>
      <w:r>
        <w:t xml:space="preserve"/>
      </w:r>
    </w:p>
    <w:p>
      <w:r>
        <w:rPr>
          <w:b/>
          <w:bCs/>
        </w:rPr>
        <w:t xml:space="preserve">How we comply:</w:t>
      </w:r>
      <w:r>
        <w:rPr>
          <w:b w:val="false"/>
          <w:bCs w:val="false"/>
        </w:rPr>
        <w:t xml:space="preserve"> NimbleStride Inc. confirms that no proprietary lock-in, restrictive licensing, or third-party encumbrances will be incorporated into any Deliverables that would limit the City's ability to modify, further develop, or engage other contractors for the Deliverables. All Deliverables will be provided in open, accessible formats. These obligations survive contract termination or expiry.</w:t>
      </w:r>
    </w:p>
    <w:p>
      <w:r>
        <w:t xml:space="preserve"/>
      </w:r>
    </w:p>
    <w:p>
      <w:r>
        <w:rPr>
          <w:b w:val="false"/>
          <w:bCs w:val="false"/>
        </w:rPr>
        <w:t xml:space="preserve">---</w:t>
      </w:r>
    </w:p>
    <w:p>
      <w:r>
        <w:t xml:space="preserve"/>
      </w:r>
    </w:p>
    <w:p>
      <w:pPr>
        <w:pStyle w:val="Heading2"/>
      </w:pPr>
      <w:r>
        <w:rPr>
          <w:b w:val="false"/>
          <w:bCs w:val="false"/>
        </w:rPr>
        <w:t xml:space="preserve">3.15 Contract Amendments [p.9]</w:t>
      </w:r>
    </w:p>
    <w:p>
      <w:r>
        <w:t xml:space="preserve"/>
      </w:r>
    </w:p>
    <w:p>
      <w:r>
        <w:rPr>
          <w:b/>
          <w:bCs/>
        </w:rPr>
        <w:t xml:space="preserve">Requirement:</w:t>
      </w:r>
      <w:r>
        <w:rPr>
          <w:b w:val="false"/>
          <w:bCs w:val="false"/>
        </w:rPr>
        <w:t xml:space="preserve"> Any changes to the Contract shall be by written amendment signed by the parties.</w:t>
      </w:r>
    </w:p>
    <w:p>
      <w:r>
        <w:t xml:space="preserve"/>
      </w:r>
    </w:p>
    <w:p>
      <w:r>
        <w:rPr>
          <w:b/>
          <w:bCs/>
        </w:rPr>
        <w:t xml:space="preserve">How we comply:</w:t>
      </w:r>
      <w:r>
        <w:rPr>
          <w:b w:val="false"/>
          <w:bCs w:val="false"/>
        </w:rPr>
        <w:t xml:space="preserve"> NimbleStride Inc. acknowledges and agrees that no changes to the Contract will be effective unless made by written amendment signed by both parties.</w:t>
      </w:r>
    </w:p>
    <w:p>
      <w:r>
        <w:t xml:space="preserve"/>
      </w:r>
    </w:p>
    <w:p>
      <w:r>
        <w:rPr>
          <w:b w:val="false"/>
          <w:bCs w:val="false"/>
        </w:rPr>
        <w:t xml:space="preserve">---</w:t>
      </w:r>
    </w:p>
    <w:p>
      <w:r>
        <w:t xml:space="preserve"/>
      </w:r>
    </w:p>
    <w:p>
      <w:pPr>
        <w:pStyle w:val="Heading2"/>
      </w:pPr>
      <w:r>
        <w:rPr>
          <w:b w:val="false"/>
          <w:bCs w:val="false"/>
        </w:rPr>
        <w:t xml:space="preserve">3.16 Commencement of Work [p.11]</w:t>
      </w:r>
    </w:p>
    <w:p>
      <w:r>
        <w:t xml:space="preserve"/>
      </w:r>
    </w:p>
    <w:p>
      <w:r>
        <w:rPr>
          <w:b/>
          <w:bCs/>
        </w:rPr>
        <w:t xml:space="preserve">Requirement:</w:t>
      </w:r>
      <w:r>
        <w:rPr>
          <w:b w:val="false"/>
          <w:bCs w:val="false"/>
        </w:rPr>
        <w:t xml:space="preserve"> The Supplier shall commence performance upon receipt of written instructions from the City.</w:t>
      </w:r>
    </w:p>
    <w:p>
      <w:r>
        <w:t xml:space="preserve"/>
      </w:r>
    </w:p>
    <w:p>
      <w:r>
        <w:rPr>
          <w:b/>
          <w:bCs/>
        </w:rPr>
        <w:t xml:space="preserve">How we comply:</w:t>
      </w:r>
      <w:r>
        <w:rPr>
          <w:b w:val="false"/>
          <w:bCs w:val="false"/>
        </w:rPr>
        <w:t xml:space="preserve"> NimbleStride Inc. confirms it will not commence any work under the Contract until written instructions are received from the City of Saskatoon's designated contract authority.</w:t>
      </w:r>
    </w:p>
    <w:p>
      <w:r>
        <w:t xml:space="preserve"/>
      </w:r>
    </w:p>
    <w:p>
      <w:r>
        <w:rPr>
          <w:b w:val="false"/>
          <w:bCs w:val="false"/>
        </w:rPr>
        <w:t xml:space="preserve">---</w:t>
      </w:r>
    </w:p>
    <w:p>
      <w:r>
        <w:t xml:space="preserve"/>
      </w:r>
    </w:p>
    <w:p>
      <w:pPr>
        <w:pStyle w:val="Heading2"/>
      </w:pPr>
      <w:r>
        <w:rPr>
          <w:b w:val="false"/>
          <w:bCs w:val="false"/>
        </w:rPr>
        <w:t xml:space="preserve">3.17 Pre-Commencement Document Submission [p.23, p.34–p.35]</w:t>
      </w:r>
    </w:p>
    <w:p>
      <w:r>
        <w:t xml:space="preserve"/>
      </w:r>
    </w:p>
    <w:p>
      <w:r>
        <w:rPr>
          <w:b/>
          <w:bCs/>
        </w:rPr>
        <w:t xml:space="preserve">Requirement:</w:t>
      </w:r>
      <w:r>
        <w:rPr>
          <w:b w:val="false"/>
          <w:bCs w:val="false"/>
        </w:rPr>
        <w:t xml:space="preserve"> Documents requested below must be submitted at least 10 days before work commences. Work will not commence if requested documents are not provided or are incomplete.</w:t>
      </w:r>
    </w:p>
    <w:p>
      <w:r>
        <w:t xml:space="preserve"/>
      </w:r>
    </w:p>
    <w:p>
      <w:r>
        <w:rPr>
          <w:b/>
          <w:bCs/>
        </w:rPr>
        <w:t xml:space="preserve">Required documents:</w:t>
      </w:r>
    </w:p>
    <w:p>
      <w:r>
        <w:rPr>
          <w:b w:val="false"/>
          <w:bCs w:val="false"/>
        </w:rPr>
        <w:t xml:space="preserve">Current organisation chart indicating reporting structure of safety personnel and supervisors [p.23/p.36]</w:t>
      </w:r>
    </w:p>
    <w:p>
      <w:r>
        <w:rPr>
          <w:b w:val="false"/>
          <w:bCs w:val="false"/>
        </w:rPr>
        <w:t xml:space="preserve">Emergency Response Plan for the worksite [p.23/p.37]</w:t>
      </w:r>
    </w:p>
    <w:p>
      <w:r>
        <w:t xml:space="preserve"/>
      </w:r>
    </w:p>
    <w:p>
      <w:r>
        <w:rPr>
          <w:b/>
          <w:bCs/>
        </w:rPr>
        <w:t xml:space="preserve">How we comply:</w:t>
      </w:r>
    </w:p>
    <w:p>
      <w:r>
        <w:t xml:space="preserve"/>
      </w:r>
    </w:p>
    <w:p>
      <w:r>
        <w:rPr>
          <w:b w:val="false"/>
          <w:bCs w:val="false"/>
        </w:rPr>
        <w:t xml:space="preserve">[PROVIDE: Organisation chart showing safety personnel and supervisory reporting structure — must be prepared and submitted to the City at least 10 days before work commences. This document does not exist in the dossier and must be created.]</w:t>
      </w:r>
    </w:p>
    <w:p>
      <w:r>
        <w:t xml:space="preserve"/>
      </w:r>
    </w:p>
    <w:p>
      <w:r>
        <w:rPr>
          <w:b w:val="false"/>
          <w:bCs w:val="false"/>
        </w:rPr>
        <w:t xml:space="preserve">[PROVIDE: Emergency Response Plan specific to the City of Saskatoon worksite(s) — must be prepared and submitted to the City at least 10 days before work commences. This document does not exist in the dossier and must be created.]</w:t>
      </w:r>
    </w:p>
    <w:p>
      <w:r>
        <w:t xml:space="preserve"/>
      </w:r>
    </w:p>
    <w:p>
      <w:r>
        <w:rPr>
          <w:b w:val="false"/>
          <w:bCs w:val="false"/>
        </w:rPr>
        <w:t xml:space="preserve">---</w:t>
      </w:r>
    </w:p>
    <w:p>
      <w:r>
        <w:t xml:space="preserve"/>
      </w:r>
    </w:p>
    <w:p>
      <w:pPr>
        <w:pStyle w:val="Heading2"/>
      </w:pPr>
      <w:r>
        <w:rPr>
          <w:b w:val="false"/>
          <w:bCs w:val="false"/>
        </w:rPr>
        <w:t xml:space="preserve">3.18 Asbestos Awareness Training [p.47, p.69–p.70]</w:t>
      </w:r>
    </w:p>
    <w:p>
      <w:r>
        <w:t xml:space="preserve"/>
      </w:r>
    </w:p>
    <w:p>
      <w:r>
        <w:rPr>
          <w:b/>
          <w:bCs/>
        </w:rPr>
        <w:t xml:space="preserve">Requirement:</w:t>
      </w:r>
      <w:r>
        <w:rPr>
          <w:b w:val="false"/>
          <w:bCs w:val="false"/>
        </w:rPr>
        <w:t xml:space="preserve"> All contractors on site must have successfully completed asbestos awareness training (available from the Worksite Safety Compliance Centre or the Saskatchewan Construction Safety Association — SCSA). The certificate of completion must be provided to the City of Saskatoon prior to work commencing.</w:t>
      </w:r>
    </w:p>
    <w:p>
      <w:r>
        <w:t xml:space="preserve"/>
      </w:r>
    </w:p>
    <w:p>
      <w:r>
        <w:rPr>
          <w:b/>
          <w:bCs/>
        </w:rPr>
        <w:t xml:space="preserve">How we comply:</w:t>
      </w:r>
      <w:r>
        <w:rPr>
          <w:b w:val="false"/>
          <w:bCs w:val="false"/>
        </w:rPr>
        <w:t xml:space="preserve"> [PROVIDE: Asbestos awareness training certificates for all personnel who will work on City of Saskatoon sites under this contract. Training must be completed through the Worksite Safety Compliance Centre or SCSA. Certificates must be provided to the City before work commences. This certification is not confirmed in the dossier and must be obtained.]</w:t>
      </w:r>
    </w:p>
    <w:p>
      <w:r>
        <w:t xml:space="preserve"/>
      </w:r>
    </w:p>
    <w:p>
      <w:r>
        <w:rPr>
          <w:b w:val="false"/>
          <w:bCs w:val="false"/>
        </w:rPr>
        <w:t xml:space="preserve">---</w:t>
      </w:r>
    </w:p>
    <w:p>
      <w:r>
        <w:t xml:space="preserve"/>
      </w:r>
    </w:p>
    <w:p>
      <w:pPr>
        <w:pStyle w:val="Heading2"/>
      </w:pPr>
      <w:r>
        <w:rPr>
          <w:b w:val="false"/>
          <w:bCs w:val="false"/>
        </w:rPr>
        <w:t xml:space="preserve">3.19 Safety Manual [p.47, p.71]</w:t>
      </w:r>
    </w:p>
    <w:p>
      <w:r>
        <w:t xml:space="preserve"/>
      </w:r>
    </w:p>
    <w:p>
      <w:r>
        <w:rPr>
          <w:b/>
          <w:bCs/>
        </w:rPr>
        <w:t xml:space="preserve">Requirement:</w:t>
      </w:r>
      <w:r>
        <w:rPr>
          <w:b w:val="false"/>
          <w:bCs w:val="false"/>
        </w:rPr>
        <w:t xml:space="preserve"> The successful respondent will have five (5) business days to provide a comprehensive Safety Manual as a pre-condition of award, addressing all aspects of job safety, job safety education, and workplace hazard reporting.</w:t>
      </w:r>
    </w:p>
    <w:p>
      <w:r>
        <w:t xml:space="preserve"/>
      </w:r>
    </w:p>
    <w:p>
      <w:r>
        <w:rPr>
          <w:b/>
          <w:bCs/>
        </w:rPr>
        <w:t xml:space="preserve">How we comply:</w:t>
      </w:r>
      <w:r>
        <w:rPr>
          <w:b w:val="false"/>
          <w:bCs w:val="false"/>
        </w:rPr>
        <w:t xml:space="preserve"> [PROVIDE: A comprehensive Safety Manual must be prepared and ready for submission within five (5) business days of contract award. This document does not exist in the dossier and must be created prior to or immediately following award. Consider engaging the SCSA for assistance in developing a compliant Safety Manual.]</w:t>
      </w:r>
    </w:p>
    <w:p>
      <w:r>
        <w:t xml:space="preserve"/>
      </w:r>
    </w:p>
    <w:p>
      <w:r>
        <w:rPr>
          <w:b w:val="false"/>
          <w:bCs w:val="false"/>
        </w:rPr>
        <w:t xml:space="preserve">---</w:t>
      </w:r>
    </w:p>
    <w:p>
      <w:r>
        <w:t xml:space="preserve"/>
      </w:r>
    </w:p>
    <w:p>
      <w:pPr>
        <w:pStyle w:val="Heading2"/>
      </w:pPr>
      <w:r>
        <w:rPr>
          <w:b w:val="false"/>
          <w:bCs w:val="false"/>
        </w:rPr>
        <w:t xml:space="preserve">3.20 Criminal Record Checks [p.47, p.72–p.75]</w:t>
      </w:r>
    </w:p>
    <w:p>
      <w:r>
        <w:t xml:space="preserve"/>
      </w:r>
    </w:p>
    <w:p>
      <w:r>
        <w:rPr>
          <w:b/>
          <w:bCs/>
        </w:rPr>
        <w:t xml:space="preserve">Requirement:</w:t>
      </w:r>
      <w:r>
        <w:rPr>
          <w:b w:val="false"/>
          <w:bCs w:val="false"/>
        </w:rPr>
        <w:t xml:space="preserve"> The Contractor, their staff, and subcontractors must pass and provide an acceptable current criminal record check (CRC) at the level requested by the City of Saskatoon. CRCs must be submitted within 4 weeks of contract award. The Contractor must inform the City of any new employees at any time during the contract; new employees must pass a CRC.</w:t>
      </w:r>
    </w:p>
    <w:p>
      <w:r>
        <w:t xml:space="preserve"/>
      </w:r>
    </w:p>
    <w:p>
      <w:r>
        <w:rPr>
          <w:b/>
          <w:bCs/>
        </w:rPr>
        <w:t xml:space="preserve">How we comply:</w:t>
      </w:r>
      <w:r>
        <w:rPr>
          <w:b w:val="false"/>
          <w:bCs w:val="false"/>
        </w:rPr>
        <w:t xml:space="preserve"> NimbleStride Inc. confirms that all personnel and subcontractors assigned to work under this Contract will undergo criminal record checks at the level specified by the City of Saskatoon, and that results will be submitted within four (4) weeks of contract award. The City will be notified of any new employees added during the contract term, and CRCs will be obtained for all new personnel before they commence work.</w:t>
      </w:r>
    </w:p>
    <w:p>
      <w:r>
        <w:t xml:space="preserve"/>
      </w:r>
    </w:p>
    <w:p>
      <w:r>
        <w:rPr>
          <w:b w:val="false"/>
          <w:bCs w:val="false"/>
        </w:rPr>
        <w:t xml:space="preserve">[PROVIDE: Initiate CRC process for Mohammed Yousuf Shariff and any named technicians/subcontractors immediately upon award. Identify the CRC level required by the City (standard, vulnerable sector, etc.).]</w:t>
      </w:r>
    </w:p>
    <w:p>
      <w:r>
        <w:t xml:space="preserve"/>
      </w:r>
    </w:p>
    <w:p>
      <w:r>
        <w:rPr>
          <w:b w:val="false"/>
          <w:bCs w:val="false"/>
        </w:rPr>
        <w:t xml:space="preserve">---</w:t>
      </w:r>
    </w:p>
    <w:p>
      <w:r>
        <w:t xml:space="preserve"/>
      </w:r>
    </w:p>
    <w:p>
      <w:pPr>
        <w:pStyle w:val="Heading2"/>
      </w:pPr>
      <w:r>
        <w:rPr>
          <w:b w:val="false"/>
          <w:bCs w:val="false"/>
        </w:rPr>
        <w:t xml:space="preserve">3.21 On-Site Installation Requirements [p.26, p.38–p.40]</w:t>
      </w:r>
    </w:p>
    <w:p>
      <w:r>
        <w:t xml:space="preserve"/>
      </w:r>
    </w:p>
    <w:p>
      <w:r>
        <w:rPr>
          <w:b/>
          <w:bCs/>
        </w:rPr>
        <w:t xml:space="preserve">Requirement:</w:t>
      </w:r>
    </w:p>
    <w:p>
      <w:pPr>
        <w:pStyle w:val="ListParagraph"/>
        <w:numPr>
          <w:ilvl w:val="0"/>
          <w:numId w:val="1"/>
        </w:numPr>
      </w:pPr>
      <w:r>
        <w:rPr>
          <w:b w:val="false"/>
          <w:bCs w:val="false"/>
        </w:rPr>
        <w:t xml:space="preserve">All programming and commissioning shall be done while on site [p.26/p.38]</w:t>
      </w:r>
    </w:p>
    <w:p>
      <w:pPr>
        <w:pStyle w:val="ListParagraph"/>
        <w:numPr>
          <w:ilvl w:val="0"/>
          <w:numId w:val="1"/>
        </w:numPr>
      </w:pPr>
      <w:r>
        <w:rPr>
          <w:b w:val="false"/>
          <w:bCs w:val="false"/>
        </w:rPr>
        <w:t xml:space="preserve">All exposed wire shall be housed in finger tracking or conduit as applicable to the environment [p.26/p.39]</w:t>
      </w:r>
    </w:p>
    <w:p>
      <w:pPr>
        <w:pStyle w:val="ListParagraph"/>
        <w:numPr>
          <w:ilvl w:val="0"/>
          <w:numId w:val="1"/>
        </w:numPr>
      </w:pPr>
      <w:r>
        <w:rPr>
          <w:b w:val="false"/>
          <w:bCs w:val="false"/>
        </w:rPr>
        <w:t xml:space="preserve">All cables and access equipment in the electrical room shall be labelled as applicable [p.26/p.40]</w:t>
      </w:r>
    </w:p>
    <w:p>
      <w:r>
        <w:t xml:space="preserve"/>
      </w:r>
    </w:p>
    <w:p>
      <w:r>
        <w:rPr>
          <w:b/>
          <w:bCs/>
        </w:rPr>
        <w:t xml:space="preserve">How we comply:</w:t>
      </w:r>
      <w:r>
        <w:rPr>
          <w:b w:val="false"/>
          <w:bCs w:val="false"/>
        </w:rPr>
        <w:t xml:space="preserve"> NimbleStride Inc. / MGR Infotech confirms that:</w:t>
      </w:r>
    </w:p>
    <w:p>
      <w:pPr>
        <w:pStyle w:val="ListParagraph"/>
        <w:numPr>
          <w:ilvl w:val="0"/>
          <w:numId w:val="1"/>
        </w:numPr>
      </w:pPr>
      <w:r>
        <w:rPr>
          <w:b w:val="false"/>
          <w:bCs w:val="false"/>
        </w:rPr>
        <w:t xml:space="preserve">All programming and commissioning of access control systems will be performed on site at the City of Saskatoon's designated locations</w:t>
      </w:r>
    </w:p>
    <w:p>
      <w:pPr>
        <w:pStyle w:val="ListParagraph"/>
        <w:numPr>
          <w:ilvl w:val="0"/>
          <w:numId w:val="1"/>
        </w:numPr>
      </w:pPr>
      <w:r>
        <w:rPr>
          <w:b w:val="false"/>
          <w:bCs w:val="false"/>
        </w:rPr>
        <w:t xml:space="preserve">All exposed wiring will be housed in appropriate finger tracking or conduit consistent with the installation environment</w:t>
      </w:r>
    </w:p>
    <w:p>
      <w:pPr>
        <w:pStyle w:val="ListParagraph"/>
        <w:numPr>
          <w:ilvl w:val="0"/>
          <w:numId w:val="1"/>
        </w:numPr>
      </w:pPr>
      <w:r>
        <w:rPr>
          <w:b w:val="false"/>
          <w:bCs w:val="false"/>
        </w:rPr>
        <w:t xml:space="preserve">All cables and access equipment in electrical rooms will be labelled in accordance with applicable standards and City requirements</w:t>
      </w:r>
    </w:p>
    <w:p>
      <w:r>
        <w:t xml:space="preserve"/>
      </w:r>
    </w:p>
    <w:p>
      <w:r>
        <w:rPr>
          <w:b w:val="false"/>
          <w:bCs w:val="false"/>
        </w:rPr>
        <w:t xml:space="preserve">[CONFIRM: MGR Infotech's dossier references CCTV security-system installation experience. Confirm that the assigned technician(s) have specific experience with structured cabling, conduit installation, and electrical room labelling practices consistent with access control system installations. Provide evidence if available.]</w:t>
      </w:r>
    </w:p>
    <w:p>
      <w:r>
        <w:t xml:space="preserve"/>
      </w:r>
    </w:p>
    <w:p>
      <w:r>
        <w:rPr>
          <w:b w:val="false"/>
          <w:bCs w:val="false"/>
        </w:rPr>
        <w:t xml:space="preserve">---</w:t>
      </w:r>
    </w:p>
    <w:p>
      <w:r>
        <w:t xml:space="preserve"/>
      </w:r>
    </w:p>
    <w:p>
      <w:pPr>
        <w:pStyle w:val="Heading2"/>
      </w:pPr>
      <w:r>
        <w:rPr>
          <w:b w:val="false"/>
          <w:bCs w:val="false"/>
        </w:rPr>
        <w:t xml:space="preserve">3.22 Addenda Acknowledgement [p.42, p.50]</w:t>
      </w:r>
    </w:p>
    <w:p>
      <w:r>
        <w:t xml:space="preserve"/>
      </w:r>
    </w:p>
    <w:p>
      <w:r>
        <w:rPr>
          <w:b/>
          <w:bCs/>
        </w:rPr>
        <w:t xml:space="preserve">Requirement:</w:t>
      </w:r>
      <w:r>
        <w:rPr>
          <w:b w:val="false"/>
          <w:bCs w:val="false"/>
        </w:rPr>
        <w:t xml:space="preserve"> Respondents are responsible for obtaining all addenda issued by the City. The bidder must acknowledge that all addenda form part of the Bid Document.</w:t>
      </w:r>
    </w:p>
    <w:p>
      <w:r>
        <w:t xml:space="preserve"/>
      </w:r>
    </w:p>
    <w:p>
      <w:r>
        <w:rPr>
          <w:b/>
          <w:bCs/>
        </w:rPr>
        <w:t xml:space="preserve">How we comply:</w:t>
      </w:r>
      <w:r>
        <w:rPr>
          <w:b w:val="false"/>
          <w:bCs w:val="false"/>
        </w:rPr>
        <w:t xml:space="preserve"> NimbleStride Inc. confirms it has monitored the bidding system for all addenda issued in relation to RFSQ 24-0345Y2 and acknowledges that all issued addenda form part of the Bid Document.</w:t>
      </w:r>
    </w:p>
    <w:p>
      <w:r>
        <w:t xml:space="preserve"/>
      </w:r>
    </w:p>
    <w:p>
      <w:r>
        <w:rPr>
          <w:b w:val="false"/>
          <w:bCs w:val="false"/>
        </w:rPr>
        <w:t xml:space="preserve">[PROVIDE: List all addendum numbers issued and acknowledged in Appendix C — Submission Form, as required by the bidding system.]</w:t>
      </w:r>
    </w:p>
    <w:p>
      <w:r>
        <w:t xml:space="preserve"/>
      </w:r>
    </w:p>
    <w:p>
      <w:r>
        <w:rPr>
          <w:b w:val="false"/>
          <w:bCs w:val="false"/>
        </w:rPr>
        <w:t xml:space="preserve">---</w:t>
      </w:r>
    </w:p>
    <w:p>
      <w:r>
        <w:t xml:space="preserve"/>
      </w:r>
    </w:p>
    <w:p>
      <w:pPr>
        <w:pStyle w:val="Heading2"/>
      </w:pPr>
      <w:r>
        <w:rPr>
          <w:b w:val="false"/>
          <w:bCs w:val="false"/>
        </w:rPr>
        <w:t xml:space="preserve">3.23 Vendor References — Honeywell ProWatch [p.49, p.78]</w:t>
      </w:r>
    </w:p>
    <w:p>
      <w:r>
        <w:t xml:space="preserve"/>
      </w:r>
    </w:p>
    <w:p>
      <w:r>
        <w:rPr>
          <w:b/>
          <w:bCs/>
        </w:rPr>
        <w:t xml:space="preserve">Requirement:</w:t>
      </w:r>
      <w:r>
        <w:rPr>
          <w:b w:val="false"/>
          <w:bCs w:val="false"/>
        </w:rPr>
        <w:t xml:space="preserve"> Provide three (3) written reference letters that highlight your ability to support Honeywell ProWatch systems for a large organisation.</w:t>
      </w:r>
    </w:p>
    <w:p>
      <w:r>
        <w:t xml:space="preserve"/>
      </w:r>
    </w:p>
    <w:p>
      <w:r>
        <w:rPr>
          <w:b/>
          <w:bCs/>
        </w:rPr>
        <w:t xml:space="preserve">How we comply:</w:t>
      </w:r>
      <w:r>
        <w:rPr>
          <w:b w:val="false"/>
          <w:bCs w:val="false"/>
        </w:rPr>
        <w:t xml:space="preserve"> ⚠️ </w:t>
      </w:r>
      <w:r>
        <w:rPr>
          <w:b/>
          <w:bCs/>
        </w:rPr>
        <w:t xml:space="preserve">[PROVIDE: Three (3) written reference letters from clients of large organisations for whom you have supported Honeywell ProWatch access control systems. These must be organisation-level references specific to ProWatch system support — not general IT or software references. The dossier does not contain any ProWatch-specific references. This is a mandatory requirement. Do not submit without resolving this gap.]</w:t>
      </w:r>
    </w:p>
    <w:p>
      <w:r>
        <w:t xml:space="preserve"/>
      </w:r>
    </w:p>
    <w:p>
      <w:r>
        <w:rPr>
          <w:b w:val="false"/>
          <w:bCs w:val="false"/>
        </w:rPr>
        <w:t xml:space="preserve">&gt; </w:t>
      </w:r>
      <w:r>
        <w:rPr>
          <w:b/>
          <w:bCs/>
        </w:rPr>
        <w:t xml:space="preserve">Note:</w:t>
      </w:r>
      <w:r>
        <w:rPr>
          <w:b w:val="false"/>
          <w:bCs w:val="false"/>
        </w:rPr>
        <w:t xml:space="preserve"> The two professional references in the dossier (Deb Dash, Intact Insurance; Sid Venkat, Northbridge Insurance) relate to software/data-engineering delivery and do not satisfy this requirement. They should not be submitted in place of ProWatch-specific reference letters.</w:t>
      </w:r>
    </w:p>
    <w:p>
      <w:r>
        <w:t xml:space="preserve"/>
      </w:r>
    </w:p>
    <w:p>
      <w:r>
        <w:rPr>
          <w:b w:val="false"/>
          <w:bCs w:val="false"/>
        </w:rPr>
        <w:t xml:space="preserve">---</w:t>
      </w:r>
    </w:p>
    <w:p>
      <w:r>
        <w:t xml:space="preserve"/>
      </w:r>
    </w:p>
    <w:p>
      <w:pPr>
        <w:pStyle w:val="Heading1"/>
      </w:pPr>
      <w:r>
        <w:rPr>
          <w:b w:val="false"/>
          <w:bCs w:val="false"/>
        </w:rPr>
        <w:t xml:space="preserve">4. Technical Approach</w:t>
      </w:r>
    </w:p>
    <w:p>
      <w:r>
        <w:t xml:space="preserve"/>
      </w:r>
    </w:p>
    <w:p>
      <w:r>
        <w:rPr>
          <w:b w:val="false"/>
          <w:bCs w:val="false"/>
        </w:rPr>
        <w:t xml:space="preserve">&gt; *Outline headings are provided below. Each section requires content from the human reviewer based on actual ProWatch project experience and the specific scope of RFSQ 24-0345Y2.*</w:t>
      </w:r>
    </w:p>
    <w:p>
      <w:r>
        <w:t xml:space="preserve"/>
      </w:r>
    </w:p>
    <w:p>
      <w:pPr>
        <w:pStyle w:val="Heading2"/>
      </w:pPr>
      <w:r>
        <w:rPr>
          <w:b w:val="false"/>
          <w:bCs w:val="false"/>
        </w:rPr>
        <w:t xml:space="preserve">4.1 Understanding of Scope and Requirements</w:t>
      </w:r>
    </w:p>
    <w:p>
      <w:r>
        <w:rPr>
          <w:b w:val="false"/>
          <w:bCs w:val="false"/>
        </w:rPr>
        <w:t xml:space="preserve">[PROVIDE: Summarise your understanding of the City of Saskatoon's access control system requirements as described in the RFSQ — number of sites, system scale, integration requirements, and any specific ProWatch configuration requirements identified in the tender documents.]</w:t>
      </w:r>
    </w:p>
    <w:p>
      <w:r>
        <w:t xml:space="preserve"/>
      </w:r>
    </w:p>
    <w:p>
      <w:pPr>
        <w:pStyle w:val="Heading2"/>
      </w:pPr>
      <w:r>
        <w:rPr>
          <w:b w:val="false"/>
          <w:bCs w:val="false"/>
        </w:rPr>
        <w:t xml:space="preserve">4.2 Honeywell ProWatch System Expertise</w:t>
      </w:r>
    </w:p>
    <w:p>
      <w:r>
        <w:rPr>
          <w:b w:val="false"/>
          <w:bCs w:val="false"/>
        </w:rPr>
        <w:t xml:space="preserve">[PROVIDE: Describe your team's specific Honeywell ProWatch experience — versions supported, system configurations delivered, integration with other building systems (CCTV, alarm, HR/identity systems), and scale of deployments. Reference the certified technician(s) by name and certification level.]</w:t>
      </w:r>
    </w:p>
    <w:p>
      <w:r>
        <w:t xml:space="preserve"/>
      </w:r>
    </w:p>
    <w:p>
      <w:pPr>
        <w:pStyle w:val="Heading2"/>
      </w:pPr>
      <w:r>
        <w:rPr>
          <w:b w:val="false"/>
          <w:bCs w:val="false"/>
        </w:rPr>
        <w:t xml:space="preserve">4.3 Installation Methodology</w:t>
      </w:r>
    </w:p>
    <w:p>
      <w:r>
        <w:rPr>
          <w:b w:val="false"/>
          <w:bCs w:val="false"/>
        </w:rPr>
        <w:t xml:space="preserve">[PROVIDE: Describe your approach to on-site installation, including site survey, cable routing and conduit installation, electrical room labelling, hardware mounting, and commissioning. Confirm all programming and commissioning will be performed on site per p.26/p.38.]</w:t>
      </w:r>
    </w:p>
    <w:p>
      <w:r>
        <w:t xml:space="preserve"/>
      </w:r>
    </w:p>
    <w:p>
      <w:pPr>
        <w:pStyle w:val="Heading2"/>
      </w:pPr>
      <w:r>
        <w:rPr>
          <w:b w:val="false"/>
          <w:bCs w:val="false"/>
        </w:rPr>
        <w:t xml:space="preserve">4.4 Programming and Commissioning</w:t>
      </w:r>
    </w:p>
    <w:p>
      <w:r>
        <w:rPr>
          <w:b w:val="false"/>
          <w:bCs w:val="false"/>
        </w:rPr>
        <w:t xml:space="preserve">[PROVIDE: Describe your ProWatch programming approach — cardholder database setup, access level configuration, door/reader programming, alarm configuration, reporting setup, and user acceptance testing process.]</w:t>
      </w:r>
    </w:p>
    <w:p>
      <w:r>
        <w:t xml:space="preserve"/>
      </w:r>
    </w:p>
    <w:p>
      <w:pPr>
        <w:pStyle w:val="Heading2"/>
      </w:pPr>
      <w:r>
        <w:rPr>
          <w:b w:val="false"/>
          <w:bCs w:val="false"/>
        </w:rPr>
        <w:t xml:space="preserve">4.5 Project Management and Scheduling</w:t>
      </w:r>
    </w:p>
    <w:p>
      <w:r>
        <w:rPr>
          <w:b w:val="false"/>
          <w:bCs w:val="false"/>
        </w:rPr>
        <w:t xml:space="preserve">[PROVIDE: Describe your project management approach for this engagement — scheduling, site coordination with City staff, progress reporting, and escalation procedures. Reference Mohammed Yousuf Shariff's SAFe SPC 6 / PRINCE2 delivery methodology as applicable.]</w:t>
      </w:r>
    </w:p>
    <w:p>
      <w:r>
        <w:t xml:space="preserve"/>
      </w:r>
    </w:p>
    <w:p>
      <w:pPr>
        <w:pStyle w:val="Heading2"/>
      </w:pPr>
      <w:r>
        <w:rPr>
          <w:b w:val="false"/>
          <w:bCs w:val="false"/>
        </w:rPr>
        <w:t xml:space="preserve">4.6 Quality Assurance and Testing</w:t>
      </w:r>
    </w:p>
    <w:p>
      <w:r>
        <w:rPr>
          <w:b w:val="false"/>
          <w:bCs w:val="false"/>
        </w:rPr>
        <w:t xml:space="preserve">[PROVIDE: Describe your QA and testing approach for access control system installations — functional testing of each door/reader, failover testing, integration testing, and sign-off process with the City.]</w:t>
      </w:r>
    </w:p>
    <w:p>
      <w:r>
        <w:t xml:space="preserve"/>
      </w:r>
    </w:p>
    <w:p>
      <w:pPr>
        <w:pStyle w:val="Heading2"/>
      </w:pPr>
      <w:r>
        <w:rPr>
          <w:b w:val="false"/>
          <w:bCs w:val="false"/>
        </w:rPr>
        <w:t xml:space="preserve">4.7 Ongoing Support and Maintenance</w:t>
      </w:r>
    </w:p>
    <w:p>
      <w:r>
        <w:rPr>
          <w:b w:val="false"/>
          <w:bCs w:val="false"/>
        </w:rPr>
        <w:t xml:space="preserve">[PROVIDE: Describe your post-installation support model — response times, on-site vs. remote support, software update management, and ProWatch system administration support.]</w:t>
      </w:r>
    </w:p>
    <w:p>
      <w:r>
        <w:t xml:space="preserve"/>
      </w:r>
    </w:p>
    <w:p>
      <w:pPr>
        <w:pStyle w:val="Heading2"/>
      </w:pPr>
      <w:r>
        <w:rPr>
          <w:b w:val="false"/>
          <w:bCs w:val="false"/>
        </w:rPr>
        <w:t xml:space="preserve">4.8 Health, Safety, and Site Compliance</w:t>
      </w:r>
    </w:p>
    <w:p>
      <w:r>
        <w:rPr>
          <w:b w:val="false"/>
          <w:bCs w:val="false"/>
        </w:rPr>
        <w:t xml:space="preserve">[PROVIDE: Describe your approach to on-site safety — reference your Safety Manual (to be provided within 5 business days of award), asbestos awareness compliance, and site-specific hazard management. Confirm all personnel hold required certifications.]</w:t>
      </w:r>
    </w:p>
    <w:p>
      <w:r>
        <w:t xml:space="preserve"/>
      </w:r>
    </w:p>
    <w:p>
      <w:pPr>
        <w:pStyle w:val="Heading2"/>
      </w:pPr>
      <w:r>
        <w:rPr>
          <w:b w:val="false"/>
          <w:bCs w:val="false"/>
        </w:rPr>
        <w:t xml:space="preserve">4.9 Data Security and Confidentiality</w:t>
      </w:r>
    </w:p>
    <w:p>
      <w:r>
        <w:rPr>
          <w:b w:val="false"/>
          <w:bCs w:val="false"/>
        </w:rPr>
        <w:t xml:space="preserve">All data associated with the City of Saskatoon's access control system will be handled in accordance with LAFOIP and the confidentiality obligations set out in the Contract. Access to cardholder data and system configuration will be restricted to authorised personnel only, with role-based access controls and audit logging. No City data will be stored outside Canada.</w:t>
      </w:r>
    </w:p>
    <w:p>
      <w:r>
        <w:t xml:space="preserve"/>
      </w:r>
    </w:p>
    <w:p>
      <w:r>
        <w:rPr>
          <w:b w:val="false"/>
          <w:bCs w:val="false"/>
        </w:rPr>
        <w:t xml:space="preserve">---</w:t>
      </w:r>
    </w:p>
    <w:p>
      <w:r>
        <w:t xml:space="preserve"/>
      </w:r>
    </w:p>
    <w:p>
      <w:pPr>
        <w:pStyle w:val="Heading1"/>
      </w:pPr>
      <w:r>
        <w:rPr>
          <w:b w:val="false"/>
          <w:bCs w:val="false"/>
        </w:rPr>
        <w:t xml:space="preserve">5. Key Personnel</w:t>
      </w:r>
    </w:p>
    <w:p>
      <w:r>
        <w:t xml:space="preserve"/>
      </w:r>
    </w:p>
    <w:p>
      <w:pPr>
        <w:pStyle w:val="Heading2"/>
      </w:pPr>
      <w:r>
        <w:rPr>
          <w:b w:val="false"/>
          <w:bCs w:val="false"/>
        </w:rPr>
        <w:t xml:space="preserve">5.1 Mohammed Yousuf Shariff — Principal and Delivery Lead</w:t>
      </w:r>
    </w:p>
    <w:p>
      <w:r>
        <w:t xml:space="preserve"/>
      </w:r>
    </w:p>
    <w:p>
      <w:r>
        <w:rPr>
          <w:b w:val="false"/>
          <w:bCs w:val="false"/>
        </w:rPr>
        <w:t xml:space="preserve">Mohammed Yousuf Shariff serves as Principal and Delivery Lead for NimbleStride Inc. and MGR Infotech. He brings 17+ years of experience spanning software development, IT operations, and program delivery. He holds certifications including SAFe SPC 6, CSM, PRINCE2, and ITIL, and has led enterprise delivery programs at Northbridge Insurance, Intact Insurance, CIBC, Servus Credit Union, and AT&amp;T. He holds a B.Tech in Electrical &amp; Electronics Engineering.</w:t>
      </w:r>
    </w:p>
    <w:p>
      <w:r>
        <w:t xml:space="preserve"/>
      </w:r>
    </w:p>
    <w:p>
      <w:r>
        <w:rPr>
          <w:b w:val="false"/>
          <w:bCs w:val="false"/>
        </w:rPr>
        <w:t xml:space="preserve">Mr. Shariff will serve as the primary point of accountability and project management lead for this engagement.</w:t>
      </w:r>
    </w:p>
    <w:p>
      <w:r>
        <w:t xml:space="preserve"/>
      </w:r>
    </w:p>
    <w:p>
      <w:r>
        <w:rPr>
          <w:b w:val="false"/>
          <w:bCs w:val="false"/>
        </w:rPr>
        <w:t xml:space="preserve">[PROVIDE: Current résumé formatted to any City of Saskatoon required template, and confirmation of availability percentage for the engagement period.]</w:t>
      </w:r>
    </w:p>
    <w:p>
      <w:r>
        <w:t xml:space="preserve"/>
      </w:r>
    </w:p>
    <w:p>
      <w:pPr>
        <w:pStyle w:val="Heading2"/>
      </w:pPr>
      <w:r>
        <w:rPr>
          <w:b w:val="false"/>
          <w:bCs w:val="false"/>
        </w:rPr>
        <w:t xml:space="preserve">5.2 Honeywell ProWatch Certified Technician(s)</w:t>
      </w:r>
    </w:p>
    <w:p>
      <w:r>
        <w:t xml:space="preserve"/>
      </w:r>
    </w:p>
    <w:p>
      <w:r>
        <w:rPr>
          <w:b w:val="false"/>
          <w:bCs w:val="false"/>
        </w:rPr>
        <w:t xml:space="preserve">[PROVIDE: Name, role, Honeywell ProWatch certification details (certification level, date of last training, certificate number), relevant ProWatch project experience, and availability for this engagement. This individual must be named in the Contract per p.12. THIS IS A MANDATORY REQUIREMENT — do not submit without a named, certified ProWatch technician.]</w:t>
      </w:r>
    </w:p>
    <w:p>
      <w:r>
        <w:t xml:space="preserve"/>
      </w:r>
    </w:p>
    <w:p>
      <w:pPr>
        <w:pStyle w:val="Heading2"/>
      </w:pPr>
      <w:r>
        <w:rPr>
          <w:b w:val="false"/>
          <w:bCs w:val="false"/>
        </w:rPr>
        <w:t xml:space="preserve">5.3 Additional Personnel / Subcontractors</w:t>
      </w:r>
    </w:p>
    <w:p>
      <w:r>
        <w:t xml:space="preserve"/>
      </w:r>
    </w:p>
    <w:p>
      <w:r>
        <w:rPr>
          <w:b w:val="false"/>
          <w:bCs w:val="false"/>
        </w:rPr>
        <w:t xml:space="preserve">[PROVIDE: Names, roles, qualifications, and availability of any additional personnel or subcontractors to be engaged for this contract — including any electricians, cabling technicians, or security system specialists. Confirm all hold required certifications (ProWatch, asbestos awareness, CRC).]</w:t>
      </w:r>
    </w:p>
    <w:p>
      <w:r>
        <w:t xml:space="preserve"/>
      </w:r>
    </w:p>
    <w:p>
      <w:r>
        <w:rPr>
          <w:b w:val="false"/>
          <w:bCs w:val="false"/>
        </w:rPr>
        <w:t xml:space="preserve">---</w:t>
      </w:r>
    </w:p>
    <w:p>
      <w:r>
        <w:t xml:space="preserve"/>
      </w:r>
    </w:p>
    <w:p>
      <w:pPr>
        <w:pStyle w:val="Heading1"/>
      </w:pPr>
      <w:r>
        <w:rPr>
          <w:b w:val="false"/>
          <w:bCs w:val="false"/>
        </w:rPr>
        <w:t xml:space="preserve">6. Relevant Experience &amp; References</w:t>
      </w:r>
    </w:p>
    <w:p>
      <w:r>
        <w:t xml:space="preserve"/>
      </w:r>
    </w:p>
    <w:p>
      <w:pPr>
        <w:pStyle w:val="Heading2"/>
      </w:pPr>
      <w:r>
        <w:rPr>
          <w:b w:val="false"/>
          <w:bCs w:val="false"/>
        </w:rPr>
        <w:t xml:space="preserve">6.1 IT Infrastructure and Physical Security Experience</w:t>
      </w:r>
    </w:p>
    <w:p>
      <w:r>
        <w:t xml:space="preserve"/>
      </w:r>
    </w:p>
    <w:p>
      <w:r>
        <w:rPr>
          <w:b w:val="false"/>
          <w:bCs w:val="false"/>
        </w:rPr>
        <w:t xml:space="preserve">MGR Infotech has delivered IT infrastructure and physical security system engagements across Alberta and Saskatchewan, including:</w:t>
      </w:r>
    </w:p>
    <w:p>
      <w:pPr>
        <w:pStyle w:val="ListParagraph"/>
        <w:numPr>
          <w:ilvl w:val="0"/>
          <w:numId w:val="1"/>
        </w:numPr>
      </w:pPr>
      <w:r>
        <w:rPr>
          <w:b w:val="false"/>
          <w:bCs w:val="false"/>
        </w:rPr>
        <w:t xml:space="preserve">Deployment of approximately 200 computers and laptops across client sites</w:t>
      </w:r>
    </w:p>
    <w:p>
      <w:pPr>
        <w:pStyle w:val="ListParagraph"/>
        <w:numPr>
          <w:ilvl w:val="0"/>
          <w:numId w:val="1"/>
        </w:numPr>
      </w:pPr>
      <w:r>
        <w:rPr>
          <w:b w:val="false"/>
          <w:bCs w:val="false"/>
        </w:rPr>
        <w:t xml:space="preserve">Installation and configuration of CCTV and physical security systems</w:t>
      </w:r>
    </w:p>
    <w:p>
      <w:pPr>
        <w:pStyle w:val="ListParagraph"/>
        <w:numPr>
          <w:ilvl w:val="0"/>
          <w:numId w:val="1"/>
        </w:numPr>
      </w:pPr>
      <w:r>
        <w:rPr>
          <w:b w:val="false"/>
          <w:bCs w:val="false"/>
        </w:rPr>
        <w:t xml:space="preserve">Point-of-sale (POS) system installations</w:t>
      </w:r>
    </w:p>
    <w:p>
      <w:pPr>
        <w:pStyle w:val="ListParagraph"/>
        <w:numPr>
          <w:ilvl w:val="0"/>
          <w:numId w:val="1"/>
        </w:numPr>
      </w:pPr>
      <w:r>
        <w:rPr>
          <w:b w:val="false"/>
          <w:bCs w:val="false"/>
        </w:rPr>
        <w:t xml:space="preserve">Microsoft Active Directory and Office 365 setup and administration</w:t>
      </w:r>
    </w:p>
    <w:p>
      <w:r>
        <w:t xml:space="preserve"/>
      </w:r>
    </w:p>
    <w:p>
      <w:r>
        <w:rPr>
          <w:b w:val="false"/>
          <w:bCs w:val="false"/>
        </w:rPr>
        <w:t xml:space="preserve">[PROVIDE: For each of the above engagements — client name, client contact (name, title, phone, email), project dates, contract value, scope description, and number of sites/devices. These details are required to cite these as formal bid references.]</w:t>
      </w:r>
    </w:p>
    <w:p>
      <w:r>
        <w:t xml:space="preserve"/>
      </w:r>
    </w:p>
    <w:p>
      <w:pPr>
        <w:pStyle w:val="Heading2"/>
      </w:pPr>
      <w:r>
        <w:rPr>
          <w:b w:val="false"/>
          <w:bCs w:val="false"/>
        </w:rPr>
        <w:t xml:space="preserve">6.2 Honeywell ProWatch Specific Experience</w:t>
      </w:r>
    </w:p>
    <w:p>
      <w:r>
        <w:t xml:space="preserve"/>
      </w:r>
    </w:p>
    <w:p>
      <w:r>
        <w:rPr>
          <w:b w:val="false"/>
          <w:bCs w:val="false"/>
        </w:rPr>
        <w:t xml:space="preserve">[PROVIDE: Describe specific Honeywell ProWatch projects — client organisation, scope, number of doors/readers, ProWatch version, integration points, and outcome. This is the core technical experience required by this RFSQ. If no ProWatch-specific projects exist, this must be flagged as a critical gap before submission.]</w:t>
      </w:r>
    </w:p>
    <w:p>
      <w:r>
        <w:t xml:space="preserve"/>
      </w:r>
    </w:p>
    <w:p>
      <w:pPr>
        <w:pStyle w:val="Heading2"/>
      </w:pPr>
      <w:r>
        <w:rPr>
          <w:b w:val="false"/>
          <w:bCs w:val="false"/>
        </w:rPr>
        <w:t xml:space="preserve">6.3 Mandatory Written Reference Letters — Honeywell ProWatch [p.49, p.78]</w:t>
      </w:r>
    </w:p>
    <w:p>
      <w:r>
        <w:t xml:space="preserve"/>
      </w:r>
    </w:p>
    <w:p>
      <w:r>
        <w:rPr>
          <w:b/>
          <w:bCs/>
        </w:rPr>
        <w:t xml:space="preserve">Requirement:</w:t>
      </w:r>
      <w:r>
        <w:rPr>
          <w:b w:val="false"/>
          <w:bCs w:val="false"/>
        </w:rPr>
        <w:t xml:space="preserve"> Three (3) written reference letters highlighting ability to support Honeywell ProWatch systems for a large organisation.</w:t>
      </w:r>
    </w:p>
    <w:p>
      <w:r>
        <w:t xml:space="preserve"/>
      </w:r>
    </w:p>
    <w:p>
      <w:r>
        <w:rPr>
          <w:b w:val="false"/>
          <w:bCs w:val="false"/>
        </w:rPr>
        <w:t xml:space="preserve">[PROVIDE: Obtain three (3) written reference letters from large-organisation clients for whom Honeywell ProWatch systems were installed or supported. Each letter should be on the client's letterhead, signed by an authorised representative, and address: (a) the scope of ProWatch work performed; (b) the quality and professionalism of delivery; (c) the organisation's willingness to recommend NimbleStride Inc. / MGR Infotech for similar work. Attach as separate documents to the bidding system submission.]</w:t>
      </w:r>
    </w:p>
    <w:p>
      <w:r>
        <w:t xml:space="preserve"/>
      </w:r>
    </w:p>
    <w:p>
      <w:pPr>
        <w:pStyle w:val="Heading2"/>
      </w:pPr>
      <w:r>
        <w:rPr>
          <w:b w:val="false"/>
          <w:bCs w:val="false"/>
        </w:rPr>
        <w:t xml:space="preserve">6.4 General Professional References</w:t>
      </w:r>
    </w:p>
    <w:p>
      <w:r>
        <w:t xml:space="preserve"/>
      </w:r>
    </w:p>
    <w:p>
      <w:r>
        <w:rPr>
          <w:b w:val="false"/>
          <w:bCs w:val="false"/>
        </w:rPr>
        <w:t xml:space="preserve">The following professional references can attest to the delivery performance of principal Mohammed Yousuf Shariff on enterprise IT programs:</w:t>
      </w:r>
    </w:p>
    <w:p>
      <w:r>
        <w:t xml:space="preserve"/>
      </w:r>
    </w:p>
    <w:p>
      <w:r>
        <w:rPr>
          <w:b/>
          <w:bCs/>
        </w:rPr>
        <w:t xml:space="preserve">Deb Dash</w:t>
      </w:r>
      <w:r>
        <w:rPr>
          <w:b w:val="false"/>
          <w:bCs w:val="false"/>
        </w:rPr>
        <w:t xml:space="preserve">, Director – IT Development, Intact Insurance</w:t>
      </w:r>
    </w:p>
    <w:p>
      <w:r>
        <w:rPr>
          <w:b w:val="false"/>
          <w:bCs w:val="false"/>
        </w:rPr>
        <w:t xml:space="preserve">   Commercial-lines insurance application delivery</w:t>
      </w:r>
    </w:p>
    <w:p>
      <w:r>
        <w:rPr>
          <w:b w:val="false"/>
          <w:bCs w:val="false"/>
        </w:rPr>
        <w:t xml:space="preserve">   Phone: +1 416-788-4347</w:t>
      </w:r>
    </w:p>
    <w:p>
      <w:r>
        <w:t xml:space="preserve"/>
      </w:r>
    </w:p>
    <w:p>
      <w:r>
        <w:rPr>
          <w:b/>
          <w:bCs/>
        </w:rPr>
        <w:t xml:space="preserve">Sid Venkat</w:t>
      </w:r>
      <w:r>
        <w:rPr>
          <w:b w:val="false"/>
          <w:bCs w:val="false"/>
        </w:rPr>
        <w:t xml:space="preserve">, IT Development Consultant, Northbridge Insurance</w:t>
      </w:r>
    </w:p>
    <w:p>
      <w:r>
        <w:rPr>
          <w:b w:val="false"/>
          <w:bCs w:val="false"/>
        </w:rPr>
        <w:t xml:space="preserve">   Enterprise data-engineering / Snowflake data-lakehouse delivery</w:t>
      </w:r>
    </w:p>
    <w:p>
      <w:r>
        <w:rPr>
          <w:b w:val="false"/>
          <w:bCs w:val="false"/>
        </w:rPr>
        <w:t xml:space="preserve">   Phone: +1 416-799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2026-10-15T04:40:31.923Z</dcterms:created>
  <dcterms:modified xsi:type="dcterms:W3CDTF">2026-10-15T04:40:31.923Z</dcterms:modified>
</cp:coreProperties>
</file>

<file path=docProps/custom.xml><?xml version="1.0" encoding="utf-8"?>
<Properties xmlns="http://schemas.openxmlformats.org/officeDocument/2006/custom-properties" xmlns:vt="http://schemas.openxmlformats.org/officeDocument/2006/docPropsVTypes"/>
</file>